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BD7412C">
      <w:pPr>
        <w:rPr>
          <w:rFonts w:ascii="仿宋" w:hAnsi="仿宋" w:eastAsia="仿宋" w:cs="仿宋"/>
          <w:b/>
        </w:rPr>
      </w:pPr>
    </w:p>
    <w:p w14:paraId="3F1939BC">
      <w:pPr>
        <w:rPr>
          <w:rFonts w:ascii="仿宋" w:hAnsi="仿宋" w:eastAsia="仿宋" w:cs="仿宋"/>
          <w:b/>
        </w:rPr>
      </w:pPr>
    </w:p>
    <w:p w14:paraId="2A47F75F">
      <w:pPr>
        <w:rPr>
          <w:rFonts w:ascii="仿宋" w:hAnsi="仿宋" w:eastAsia="仿宋" w:cs="仿宋"/>
          <w:b/>
          <w:color w:val="000000"/>
          <w:sz w:val="28"/>
          <w:szCs w:val="28"/>
        </w:rPr>
      </w:pPr>
    </w:p>
    <w:p w14:paraId="0FABBE26">
      <w:pPr>
        <w:spacing w:line="480" w:lineRule="auto"/>
        <w:jc w:val="center"/>
        <w:rPr>
          <w:rFonts w:ascii="黑体" w:hAnsi="黑体" w:eastAsia="黑体" w:cs="黑体"/>
          <w:bCs/>
          <w:color w:val="000000"/>
          <w:sz w:val="44"/>
          <w:szCs w:val="44"/>
        </w:rPr>
      </w:pPr>
    </w:p>
    <w:p w14:paraId="36097FEC">
      <w:pPr>
        <w:spacing w:line="480" w:lineRule="auto"/>
        <w:jc w:val="center"/>
        <w:rPr>
          <w:rFonts w:ascii="黑体" w:hAnsi="黑体" w:eastAsia="黑体" w:cs="黑体"/>
          <w:bCs/>
          <w:color w:val="000000"/>
          <w:sz w:val="44"/>
          <w:szCs w:val="44"/>
        </w:rPr>
      </w:pPr>
    </w:p>
    <w:p w14:paraId="29CB3CF2">
      <w:pPr>
        <w:spacing w:line="480" w:lineRule="auto"/>
        <w:jc w:val="center"/>
        <w:rPr>
          <w:rFonts w:ascii="黑体" w:hAnsi="黑体" w:eastAsia="黑体" w:cs="黑体"/>
          <w:bCs/>
          <w:sz w:val="44"/>
          <w:szCs w:val="44"/>
        </w:rPr>
      </w:pPr>
      <w:r>
        <w:rPr>
          <w:rFonts w:hint="eastAsia" w:ascii="黑体" w:hAnsi="黑体" w:eastAsia="黑体" w:cs="黑体"/>
          <w:bCs/>
          <w:color w:val="000000"/>
          <w:sz w:val="44"/>
          <w:szCs w:val="44"/>
        </w:rPr>
        <w:t>询  价  文  件</w:t>
      </w:r>
    </w:p>
    <w:p w14:paraId="524D82BB">
      <w:pPr>
        <w:spacing w:line="480" w:lineRule="auto"/>
        <w:jc w:val="center"/>
        <w:rPr>
          <w:rFonts w:ascii="仿宋" w:hAnsi="仿宋" w:eastAsia="仿宋" w:cs="仿宋"/>
          <w:b/>
          <w:color w:val="000000"/>
          <w:sz w:val="32"/>
          <w:szCs w:val="32"/>
        </w:rPr>
      </w:pPr>
    </w:p>
    <w:p w14:paraId="31B59EFE">
      <w:pPr>
        <w:spacing w:line="480" w:lineRule="auto"/>
        <w:jc w:val="center"/>
        <w:rPr>
          <w:rFonts w:ascii="仿宋" w:hAnsi="仿宋" w:eastAsia="仿宋" w:cs="仿宋"/>
          <w:b/>
          <w:color w:val="000000"/>
          <w:sz w:val="32"/>
          <w:szCs w:val="32"/>
        </w:rPr>
      </w:pPr>
      <w:r>
        <w:rPr>
          <w:rFonts w:hint="eastAsia" w:ascii="仿宋" w:hAnsi="仿宋" w:eastAsia="仿宋" w:cs="仿宋"/>
          <w:b/>
          <w:color w:val="000000"/>
          <w:sz w:val="32"/>
          <w:szCs w:val="32"/>
          <w:u w:val="single"/>
        </w:rPr>
        <w:t xml:space="preserve"> </w:t>
      </w:r>
      <w:r>
        <w:rPr>
          <w:rFonts w:hint="eastAsia" w:ascii="仿宋" w:hAnsi="仿宋" w:eastAsia="仿宋" w:cs="仿宋"/>
          <w:b/>
          <w:color w:val="000000"/>
          <w:sz w:val="32"/>
          <w:szCs w:val="32"/>
          <w:u w:val="single"/>
          <w:lang w:val="en-US" w:eastAsia="zh-CN"/>
        </w:rPr>
        <w:t xml:space="preserve">   建筑材料质检服务  </w:t>
      </w:r>
      <w:r>
        <w:rPr>
          <w:rFonts w:hint="eastAsia" w:ascii="仿宋" w:hAnsi="仿宋" w:eastAsia="仿宋" w:cs="仿宋"/>
          <w:b/>
          <w:color w:val="000000"/>
          <w:sz w:val="32"/>
          <w:szCs w:val="32"/>
        </w:rPr>
        <w:t>物资采购</w:t>
      </w:r>
    </w:p>
    <w:p w14:paraId="77275D5C">
      <w:pPr>
        <w:jc w:val="center"/>
        <w:rPr>
          <w:rFonts w:ascii="仿宋" w:hAnsi="仿宋" w:eastAsia="仿宋" w:cs="仿宋"/>
          <w:color w:val="000000"/>
          <w:sz w:val="48"/>
          <w:szCs w:val="48"/>
          <w:u w:val="single"/>
        </w:rPr>
      </w:pPr>
    </w:p>
    <w:p w14:paraId="776FAE07">
      <w:pPr>
        <w:jc w:val="center"/>
        <w:rPr>
          <w:rFonts w:ascii="仿宋" w:hAnsi="仿宋" w:eastAsia="仿宋" w:cs="仿宋"/>
          <w:color w:val="000000"/>
          <w:sz w:val="48"/>
          <w:szCs w:val="48"/>
          <w:u w:val="single"/>
        </w:rPr>
      </w:pPr>
    </w:p>
    <w:p w14:paraId="0EAF886F">
      <w:pPr>
        <w:jc w:val="center"/>
        <w:rPr>
          <w:rFonts w:ascii="仿宋" w:hAnsi="仿宋" w:eastAsia="仿宋" w:cs="仿宋"/>
          <w:color w:val="000000"/>
          <w:sz w:val="48"/>
          <w:szCs w:val="48"/>
          <w:u w:val="single"/>
        </w:rPr>
      </w:pPr>
    </w:p>
    <w:p w14:paraId="1C53E19B">
      <w:pPr>
        <w:jc w:val="center"/>
        <w:rPr>
          <w:rFonts w:ascii="仿宋" w:hAnsi="仿宋" w:eastAsia="仿宋" w:cs="仿宋"/>
          <w:color w:val="000000"/>
          <w:sz w:val="48"/>
          <w:szCs w:val="48"/>
          <w:u w:val="single"/>
        </w:rPr>
      </w:pPr>
    </w:p>
    <w:p w14:paraId="09B98B31">
      <w:pPr>
        <w:jc w:val="center"/>
        <w:rPr>
          <w:rFonts w:ascii="仿宋" w:hAnsi="仿宋" w:eastAsia="仿宋" w:cs="仿宋"/>
          <w:color w:val="000000"/>
          <w:sz w:val="48"/>
          <w:szCs w:val="48"/>
          <w:u w:val="single"/>
        </w:rPr>
      </w:pPr>
    </w:p>
    <w:p w14:paraId="4551758C">
      <w:pPr>
        <w:jc w:val="center"/>
        <w:rPr>
          <w:rFonts w:ascii="仿宋" w:hAnsi="仿宋" w:eastAsia="仿宋" w:cs="仿宋"/>
          <w:color w:val="000000"/>
          <w:sz w:val="48"/>
          <w:szCs w:val="48"/>
          <w:u w:val="single"/>
        </w:rPr>
      </w:pPr>
    </w:p>
    <w:p w14:paraId="65C15942">
      <w:pPr>
        <w:jc w:val="center"/>
        <w:rPr>
          <w:rFonts w:ascii="仿宋" w:hAnsi="仿宋" w:eastAsia="仿宋" w:cs="仿宋"/>
          <w:color w:val="000000"/>
          <w:sz w:val="48"/>
          <w:szCs w:val="48"/>
          <w:u w:val="single"/>
        </w:rPr>
      </w:pPr>
    </w:p>
    <w:p w14:paraId="034D86D1">
      <w:pPr>
        <w:jc w:val="center"/>
        <w:rPr>
          <w:rFonts w:ascii="仿宋" w:hAnsi="仿宋" w:eastAsia="仿宋" w:cs="仿宋"/>
          <w:color w:val="000000"/>
          <w:sz w:val="48"/>
          <w:szCs w:val="48"/>
          <w:u w:val="single"/>
        </w:rPr>
      </w:pPr>
    </w:p>
    <w:p w14:paraId="54ACAA09">
      <w:pPr>
        <w:rPr>
          <w:rFonts w:ascii="仿宋" w:hAnsi="仿宋" w:eastAsia="仿宋" w:cs="仿宋"/>
          <w:b/>
          <w:color w:val="000000"/>
          <w:sz w:val="36"/>
        </w:rPr>
      </w:pPr>
    </w:p>
    <w:p w14:paraId="0436FF16">
      <w:pPr>
        <w:jc w:val="center"/>
        <w:rPr>
          <w:rFonts w:ascii="仿宋" w:hAnsi="仿宋" w:eastAsia="仿宋" w:cs="仿宋"/>
          <w:b/>
          <w:color w:val="000000"/>
          <w:sz w:val="36"/>
        </w:rPr>
      </w:pPr>
    </w:p>
    <w:p w14:paraId="47BFE67A">
      <w:pPr>
        <w:rPr>
          <w:rFonts w:ascii="仿宋" w:hAnsi="仿宋" w:eastAsia="仿宋" w:cs="仿宋"/>
          <w:b/>
        </w:rPr>
      </w:pPr>
    </w:p>
    <w:p w14:paraId="4AAE39BE">
      <w:pPr>
        <w:jc w:val="center"/>
        <w:rPr>
          <w:rFonts w:ascii="仿宋" w:hAnsi="仿宋" w:eastAsia="仿宋" w:cs="仿宋"/>
          <w:b/>
        </w:rPr>
      </w:pPr>
    </w:p>
    <w:p w14:paraId="206503C1">
      <w:pPr>
        <w:jc w:val="center"/>
        <w:rPr>
          <w:rFonts w:ascii="仿宋" w:hAnsi="仿宋" w:eastAsia="仿宋" w:cs="仿宋"/>
          <w:b/>
          <w:spacing w:val="20"/>
          <w:sz w:val="30"/>
          <w:szCs w:val="30"/>
        </w:rPr>
      </w:pPr>
      <w:r>
        <w:rPr>
          <w:rFonts w:hint="eastAsia" w:ascii="仿宋" w:hAnsi="仿宋" w:eastAsia="仿宋" w:cs="仿宋"/>
          <w:b/>
          <w:spacing w:val="20"/>
          <w:sz w:val="30"/>
          <w:szCs w:val="30"/>
        </w:rPr>
        <w:t>询价单位：北京北方世纪建筑装饰工程有限公司</w:t>
      </w:r>
    </w:p>
    <w:p w14:paraId="64C91DCC">
      <w:pPr>
        <w:jc w:val="center"/>
        <w:rPr>
          <w:rFonts w:ascii="仿宋" w:hAnsi="仿宋" w:eastAsia="仿宋" w:cs="仿宋"/>
          <w:b/>
          <w:sz w:val="32"/>
        </w:rPr>
      </w:pPr>
    </w:p>
    <w:p w14:paraId="1CC78193">
      <w:pPr>
        <w:jc w:val="center"/>
        <w:rPr>
          <w:rFonts w:ascii="仿宋" w:hAnsi="仿宋" w:eastAsia="仿宋" w:cs="仿宋"/>
          <w:b/>
          <w:sz w:val="32"/>
        </w:rPr>
      </w:pPr>
      <w:r>
        <w:rPr>
          <w:rFonts w:hint="eastAsia" w:ascii="仿宋" w:hAnsi="仿宋" w:eastAsia="仿宋" w:cs="仿宋"/>
          <w:b/>
          <w:sz w:val="32"/>
        </w:rPr>
        <w:t>202</w:t>
      </w:r>
      <w:r>
        <w:rPr>
          <w:rFonts w:hint="eastAsia" w:ascii="仿宋" w:hAnsi="仿宋" w:eastAsia="仿宋" w:cs="仿宋"/>
          <w:b/>
          <w:sz w:val="32"/>
          <w:lang w:val="en-US" w:eastAsia="zh-CN"/>
        </w:rPr>
        <w:t>5</w:t>
      </w:r>
      <w:r>
        <w:rPr>
          <w:rFonts w:hint="eastAsia" w:ascii="仿宋" w:hAnsi="仿宋" w:eastAsia="仿宋" w:cs="仿宋"/>
          <w:b/>
          <w:sz w:val="32"/>
        </w:rPr>
        <w:t>年</w:t>
      </w:r>
      <w:r>
        <w:rPr>
          <w:rFonts w:hint="eastAsia" w:ascii="仿宋" w:hAnsi="仿宋" w:eastAsia="仿宋" w:cs="仿宋"/>
          <w:b/>
          <w:sz w:val="32"/>
          <w:lang w:val="en-US" w:eastAsia="zh-CN"/>
        </w:rPr>
        <w:t>12</w:t>
      </w:r>
      <w:r>
        <w:rPr>
          <w:rFonts w:hint="eastAsia" w:ascii="仿宋" w:hAnsi="仿宋" w:eastAsia="仿宋" w:cs="仿宋"/>
          <w:b/>
          <w:sz w:val="32"/>
        </w:rPr>
        <w:t>月</w:t>
      </w:r>
    </w:p>
    <w:p w14:paraId="14BB400C">
      <w:pPr>
        <w:jc w:val="center"/>
        <w:rPr>
          <w:rFonts w:ascii="仿宋" w:hAnsi="仿宋" w:eastAsia="仿宋" w:cs="仿宋"/>
          <w:b/>
          <w:sz w:val="32"/>
        </w:rPr>
      </w:pPr>
    </w:p>
    <w:p w14:paraId="37AC5525">
      <w:pPr>
        <w:pStyle w:val="2"/>
        <w:spacing w:after="156" w:afterLines="50" w:line="560" w:lineRule="exact"/>
        <w:jc w:val="center"/>
        <w:rPr>
          <w:rFonts w:ascii="仿宋" w:hAnsi="仿宋" w:eastAsia="仿宋" w:cs="仿宋"/>
          <w:sz w:val="36"/>
          <w:szCs w:val="36"/>
        </w:rPr>
      </w:pPr>
      <w:bookmarkStart w:id="0" w:name="_Toc247085671"/>
      <w:bookmarkStart w:id="1" w:name="_Toc152045511"/>
      <w:bookmarkStart w:id="2" w:name="_Toc152042287"/>
      <w:bookmarkStart w:id="3" w:name="_Toc246996157"/>
      <w:bookmarkStart w:id="4" w:name="_Toc246996900"/>
      <w:bookmarkStart w:id="5" w:name="_Toc144974479"/>
      <w:bookmarkStart w:id="6" w:name="_Toc247096243"/>
      <w:bookmarkStart w:id="7" w:name="_Toc40700954"/>
      <w:bookmarkStart w:id="8" w:name="_Toc179632527"/>
      <w:r>
        <w:rPr>
          <w:rFonts w:hint="eastAsia" w:ascii="黑体" w:hAnsi="黑体" w:eastAsia="黑体" w:cs="黑体"/>
          <w:b w:val="0"/>
          <w:bCs/>
          <w:sz w:val="30"/>
          <w:szCs w:val="30"/>
        </w:rPr>
        <w:t xml:space="preserve">第一章 </w:t>
      </w:r>
      <w:bookmarkEnd w:id="0"/>
      <w:bookmarkEnd w:id="1"/>
      <w:bookmarkEnd w:id="2"/>
      <w:bookmarkEnd w:id="3"/>
      <w:bookmarkEnd w:id="4"/>
      <w:bookmarkEnd w:id="5"/>
      <w:bookmarkEnd w:id="6"/>
      <w:bookmarkEnd w:id="7"/>
      <w:bookmarkEnd w:id="8"/>
      <w:r>
        <w:rPr>
          <w:rFonts w:hint="eastAsia" w:ascii="黑体" w:hAnsi="黑体" w:eastAsia="黑体" w:cs="黑体"/>
          <w:b w:val="0"/>
          <w:bCs/>
          <w:sz w:val="30"/>
          <w:szCs w:val="30"/>
        </w:rPr>
        <w:t>询价采购公告</w:t>
      </w:r>
    </w:p>
    <w:p w14:paraId="06CEA74D">
      <w:pPr>
        <w:spacing w:after="156" w:afterLines="50" w:line="560" w:lineRule="exact"/>
        <w:jc w:val="center"/>
        <w:rPr>
          <w:rFonts w:ascii="仿宋" w:hAnsi="仿宋" w:eastAsia="仿宋" w:cs="仿宋"/>
        </w:rPr>
      </w:pPr>
      <w:bookmarkStart w:id="9" w:name="_Toc246996158"/>
      <w:bookmarkStart w:id="10" w:name="_Toc247085672"/>
      <w:bookmarkStart w:id="11" w:name="_Toc144974480"/>
      <w:bookmarkStart w:id="12" w:name="_Toc40700955"/>
      <w:bookmarkStart w:id="13" w:name="_Toc152045512"/>
      <w:bookmarkStart w:id="14" w:name="_Toc152042288"/>
      <w:bookmarkStart w:id="15" w:name="_Toc179632528"/>
      <w:bookmarkStart w:id="16" w:name="_Toc246996901"/>
    </w:p>
    <w:p w14:paraId="2EE8E92B">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本次比选询价，是遵循公开、公平、公正的原则，选择重信用、守合同的优质供货商与采购人公司签订</w:t>
      </w:r>
      <w:r>
        <w:rPr>
          <w:rFonts w:hint="eastAsia" w:ascii="仿宋" w:hAnsi="仿宋" w:eastAsia="仿宋" w:cs="仿宋"/>
          <w:sz w:val="24"/>
          <w:szCs w:val="24"/>
          <w:highlight w:val="none"/>
        </w:rPr>
        <w:t>物资采购</w:t>
      </w:r>
      <w:r>
        <w:rPr>
          <w:rFonts w:hint="eastAsia" w:ascii="仿宋" w:hAnsi="仿宋" w:eastAsia="仿宋" w:cs="仿宋"/>
          <w:sz w:val="24"/>
          <w:szCs w:val="24"/>
          <w:highlight w:val="none"/>
          <w:lang w:val="en-US" w:eastAsia="zh-CN"/>
        </w:rPr>
        <w:t>合同</w:t>
      </w:r>
      <w:r>
        <w:rPr>
          <w:rFonts w:hint="eastAsia" w:ascii="仿宋" w:hAnsi="仿宋" w:eastAsia="仿宋" w:cs="仿宋"/>
          <w:sz w:val="24"/>
          <w:szCs w:val="24"/>
        </w:rPr>
        <w:t>，采购人公司运营成本部或项目部按实际需求向供应商提交《</w:t>
      </w:r>
      <w:r>
        <w:rPr>
          <w:rFonts w:hint="eastAsia" w:ascii="仿宋" w:hAnsi="仿宋" w:eastAsia="仿宋" w:cs="仿宋"/>
          <w:sz w:val="24"/>
          <w:szCs w:val="24"/>
          <w:lang w:val="en-US" w:eastAsia="zh-CN"/>
        </w:rPr>
        <w:t>提货通知单</w:t>
      </w:r>
      <w:r>
        <w:rPr>
          <w:rFonts w:hint="eastAsia" w:ascii="仿宋" w:hAnsi="仿宋" w:eastAsia="仿宋" w:cs="仿宋"/>
          <w:sz w:val="24"/>
          <w:szCs w:val="24"/>
        </w:rPr>
        <w:t>》，供货商按照产品对应技术要求供货。</w:t>
      </w:r>
    </w:p>
    <w:bookmarkEnd w:id="9"/>
    <w:bookmarkEnd w:id="10"/>
    <w:bookmarkEnd w:id="11"/>
    <w:bookmarkEnd w:id="12"/>
    <w:bookmarkEnd w:id="13"/>
    <w:bookmarkEnd w:id="14"/>
    <w:bookmarkEnd w:id="15"/>
    <w:bookmarkEnd w:id="16"/>
    <w:p w14:paraId="391E4886">
      <w:pPr>
        <w:pStyle w:val="3"/>
        <w:spacing w:before="0" w:after="0" w:line="560" w:lineRule="exact"/>
        <w:jc w:val="left"/>
        <w:rPr>
          <w:rFonts w:ascii="黑体" w:hAnsi="黑体" w:cs="黑体"/>
          <w:b w:val="0"/>
          <w:bCs/>
          <w:sz w:val="24"/>
          <w:szCs w:val="24"/>
        </w:rPr>
      </w:pPr>
      <w:r>
        <w:rPr>
          <w:rFonts w:hint="eastAsia" w:ascii="黑体" w:hAnsi="黑体" w:cs="黑体"/>
          <w:b w:val="0"/>
          <w:bCs/>
          <w:sz w:val="24"/>
          <w:szCs w:val="24"/>
        </w:rPr>
        <w:t>1.采购范围及相关要求</w:t>
      </w:r>
    </w:p>
    <w:p w14:paraId="1574B0D6">
      <w:pPr>
        <w:spacing w:line="560" w:lineRule="exact"/>
        <w:ind w:firstLine="480" w:firstLineChars="200"/>
        <w:jc w:val="left"/>
        <w:rPr>
          <w:rFonts w:ascii="仿宋" w:hAnsi="仿宋" w:eastAsia="仿宋" w:cs="仿宋"/>
          <w:b/>
          <w:bCs/>
          <w:color w:val="FF0000"/>
          <w:sz w:val="24"/>
          <w:szCs w:val="24"/>
          <w:highlight w:val="none"/>
        </w:rPr>
      </w:pPr>
      <w:r>
        <w:rPr>
          <w:rFonts w:hint="eastAsia" w:ascii="仿宋" w:hAnsi="仿宋" w:eastAsia="仿宋" w:cs="仿宋"/>
          <w:sz w:val="24"/>
          <w:szCs w:val="24"/>
        </w:rPr>
        <w:t>1.1 采购周期：</w:t>
      </w:r>
      <w:r>
        <w:rPr>
          <w:rFonts w:hint="eastAsia" w:ascii="仿宋" w:hAnsi="仿宋" w:eastAsia="仿宋" w:cs="仿宋"/>
          <w:b w:val="0"/>
          <w:bCs w:val="0"/>
          <w:color w:val="auto"/>
          <w:sz w:val="24"/>
          <w:szCs w:val="24"/>
          <w:highlight w:val="none"/>
        </w:rPr>
        <w:t>自协议签订之日起，至协议总价款执行完毕。</w:t>
      </w:r>
    </w:p>
    <w:p w14:paraId="07B16B84">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1.2 交货地点：详见《材料询价（报价）表》载明地点为准。</w:t>
      </w:r>
    </w:p>
    <w:p w14:paraId="7EB466F5">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1.3 询价采购内容：详见《材料询价（报价）表》。</w:t>
      </w:r>
    </w:p>
    <w:p w14:paraId="6620C27B">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1.4 采购单价确定：本次询价确定的采购价格在合同执行期内，不得进行单方面调整，另有约定除外。</w:t>
      </w:r>
    </w:p>
    <w:p w14:paraId="3BFBC5A6">
      <w:pPr>
        <w:pStyle w:val="3"/>
        <w:spacing w:before="0" w:after="0" w:line="560" w:lineRule="exact"/>
        <w:jc w:val="left"/>
        <w:rPr>
          <w:rFonts w:ascii="黑体" w:hAnsi="黑体" w:cs="黑体"/>
          <w:b w:val="0"/>
          <w:bCs/>
          <w:sz w:val="24"/>
          <w:szCs w:val="24"/>
        </w:rPr>
      </w:pPr>
      <w:bookmarkStart w:id="17" w:name="_Toc40700960"/>
      <w:r>
        <w:rPr>
          <w:rFonts w:hint="eastAsia" w:ascii="黑体" w:hAnsi="黑体" w:cs="黑体"/>
          <w:b w:val="0"/>
          <w:bCs/>
          <w:sz w:val="24"/>
          <w:szCs w:val="24"/>
        </w:rPr>
        <w:t>2. 发布公告的媒介</w:t>
      </w:r>
      <w:bookmarkEnd w:id="17"/>
    </w:p>
    <w:p w14:paraId="6FC206EF">
      <w:pPr>
        <w:tabs>
          <w:tab w:val="left" w:pos="360"/>
        </w:tabs>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本次采购公告阳光七采采购平台（https://www.norincogroup-ebuy.com）上发布。</w:t>
      </w:r>
    </w:p>
    <w:p w14:paraId="7A438D4B">
      <w:pPr>
        <w:pStyle w:val="3"/>
        <w:spacing w:before="0" w:after="0" w:line="560" w:lineRule="exact"/>
        <w:jc w:val="left"/>
        <w:rPr>
          <w:rFonts w:ascii="黑体" w:hAnsi="黑体" w:cs="黑体"/>
          <w:b w:val="0"/>
          <w:bCs/>
          <w:sz w:val="24"/>
          <w:szCs w:val="24"/>
        </w:rPr>
      </w:pPr>
      <w:bookmarkStart w:id="18" w:name="_Toc179632531"/>
      <w:bookmarkStart w:id="19" w:name="_Toc144974483"/>
      <w:bookmarkStart w:id="20" w:name="_Toc246996161"/>
      <w:bookmarkStart w:id="21" w:name="_Toc40700958"/>
      <w:bookmarkStart w:id="22" w:name="_Toc246996904"/>
      <w:bookmarkStart w:id="23" w:name="_Toc247085675"/>
      <w:bookmarkStart w:id="24" w:name="_Toc152045515"/>
      <w:bookmarkStart w:id="25" w:name="_Toc152042291"/>
      <w:r>
        <w:rPr>
          <w:rFonts w:hint="eastAsia" w:ascii="黑体" w:hAnsi="黑体" w:cs="黑体"/>
          <w:b w:val="0"/>
          <w:bCs/>
          <w:sz w:val="24"/>
          <w:szCs w:val="24"/>
        </w:rPr>
        <w:t>3. 采购文件的获取</w:t>
      </w:r>
      <w:bookmarkEnd w:id="18"/>
      <w:bookmarkEnd w:id="19"/>
      <w:bookmarkEnd w:id="20"/>
      <w:bookmarkEnd w:id="21"/>
      <w:bookmarkEnd w:id="22"/>
      <w:bookmarkEnd w:id="23"/>
      <w:bookmarkEnd w:id="24"/>
      <w:bookmarkEnd w:id="25"/>
    </w:p>
    <w:p w14:paraId="279C3021">
      <w:pPr>
        <w:tabs>
          <w:tab w:val="left" w:pos="360"/>
        </w:tabs>
        <w:spacing w:line="560" w:lineRule="exact"/>
        <w:ind w:firstLine="480" w:firstLineChars="200"/>
        <w:jc w:val="left"/>
        <w:rPr>
          <w:rFonts w:ascii="仿宋" w:hAnsi="仿宋" w:eastAsia="仿宋" w:cs="仿宋"/>
          <w:sz w:val="24"/>
          <w:szCs w:val="24"/>
        </w:rPr>
      </w:pPr>
      <w:bookmarkStart w:id="26" w:name="_Toc40700959"/>
      <w:r>
        <w:rPr>
          <w:rFonts w:hint="eastAsia" w:ascii="仿宋" w:hAnsi="仿宋" w:eastAsia="仿宋" w:cs="仿宋"/>
          <w:sz w:val="24"/>
          <w:szCs w:val="24"/>
        </w:rPr>
        <w:t>凡有意参加询价采购活动的单位，请于</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26</w:t>
      </w:r>
      <w:r>
        <w:rPr>
          <w:rFonts w:hint="eastAsia" w:ascii="仿宋" w:hAnsi="仿宋" w:eastAsia="仿宋" w:cs="仿宋"/>
          <w:sz w:val="24"/>
          <w:szCs w:val="24"/>
        </w:rPr>
        <w:t>日</w:t>
      </w:r>
      <w:r>
        <w:rPr>
          <w:rFonts w:hint="eastAsia" w:ascii="仿宋" w:hAnsi="仿宋" w:eastAsia="仿宋" w:cs="仿宋"/>
          <w:sz w:val="24"/>
          <w:szCs w:val="24"/>
          <w:u w:val="single"/>
          <w:lang w:val="en-US" w:eastAsia="zh-CN"/>
        </w:rPr>
        <w:t>13</w:t>
      </w:r>
      <w:r>
        <w:rPr>
          <w:rFonts w:hint="eastAsia" w:ascii="仿宋" w:hAnsi="仿宋" w:eastAsia="仿宋" w:cs="仿宋"/>
          <w:sz w:val="24"/>
          <w:szCs w:val="24"/>
        </w:rPr>
        <w:t>时至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30</w:t>
      </w:r>
      <w:r>
        <w:rPr>
          <w:rFonts w:hint="eastAsia" w:ascii="仿宋" w:hAnsi="仿宋" w:eastAsia="仿宋" w:cs="仿宋"/>
          <w:sz w:val="24"/>
          <w:szCs w:val="24"/>
        </w:rPr>
        <w:t>日</w:t>
      </w:r>
      <w:r>
        <w:rPr>
          <w:rFonts w:hint="eastAsia" w:ascii="仿宋" w:hAnsi="仿宋" w:eastAsia="仿宋" w:cs="仿宋"/>
          <w:sz w:val="24"/>
          <w:szCs w:val="24"/>
          <w:u w:val="single"/>
          <w:lang w:val="en-US" w:eastAsia="zh-CN"/>
        </w:rPr>
        <w:t>13</w:t>
      </w:r>
      <w:r>
        <w:rPr>
          <w:rFonts w:hint="eastAsia" w:ascii="仿宋" w:hAnsi="仿宋" w:eastAsia="仿宋" w:cs="仿宋"/>
          <w:sz w:val="24"/>
          <w:szCs w:val="24"/>
        </w:rPr>
        <w:t xml:space="preserve">时（北京时间，下同），在阳光七采采购平台（https://www.norincogroup-ebuy.com）下载采购文件。 </w:t>
      </w:r>
    </w:p>
    <w:p w14:paraId="43408CBA">
      <w:pPr>
        <w:pStyle w:val="3"/>
        <w:spacing w:before="0" w:after="0" w:line="560" w:lineRule="exact"/>
        <w:jc w:val="left"/>
        <w:rPr>
          <w:rFonts w:ascii="仿宋" w:hAnsi="仿宋" w:eastAsia="仿宋" w:cs="仿宋"/>
          <w:sz w:val="30"/>
          <w:szCs w:val="30"/>
        </w:rPr>
      </w:pPr>
      <w:r>
        <w:rPr>
          <w:rFonts w:hint="eastAsia" w:ascii="黑体" w:hAnsi="黑体" w:cs="黑体"/>
          <w:b w:val="0"/>
          <w:bCs/>
          <w:sz w:val="24"/>
          <w:szCs w:val="24"/>
        </w:rPr>
        <w:t>4. 响应文件的递交</w:t>
      </w:r>
      <w:bookmarkEnd w:id="26"/>
      <w:bookmarkStart w:id="311" w:name="_GoBack"/>
      <w:bookmarkEnd w:id="311"/>
    </w:p>
    <w:p w14:paraId="5383BAD4">
      <w:pPr>
        <w:tabs>
          <w:tab w:val="left" w:pos="360"/>
        </w:tabs>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4.1 响应文件递交截止时间为</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30</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13</w:t>
      </w:r>
      <w:r>
        <w:rPr>
          <w:rFonts w:hint="eastAsia" w:ascii="仿宋" w:hAnsi="仿宋" w:eastAsia="仿宋" w:cs="仿宋"/>
          <w:sz w:val="24"/>
          <w:szCs w:val="24"/>
          <w:u w:val="single"/>
        </w:rPr>
        <w:t>时</w:t>
      </w:r>
      <w:r>
        <w:rPr>
          <w:rFonts w:hint="eastAsia" w:ascii="仿宋" w:hAnsi="仿宋" w:eastAsia="仿宋" w:cs="仿宋"/>
          <w:sz w:val="24"/>
          <w:szCs w:val="24"/>
          <w:u w:val="single"/>
          <w:lang w:val="en-US" w:eastAsia="zh-CN"/>
        </w:rPr>
        <w:t>00</w:t>
      </w:r>
      <w:r>
        <w:rPr>
          <w:rFonts w:hint="eastAsia" w:ascii="仿宋" w:hAnsi="仿宋" w:eastAsia="仿宋" w:cs="仿宋"/>
          <w:sz w:val="24"/>
          <w:szCs w:val="24"/>
          <w:u w:val="single"/>
        </w:rPr>
        <w:t>分</w:t>
      </w:r>
      <w:r>
        <w:rPr>
          <w:rFonts w:hint="eastAsia" w:ascii="仿宋" w:hAnsi="仿宋" w:eastAsia="仿宋" w:cs="仿宋"/>
          <w:sz w:val="24"/>
          <w:szCs w:val="24"/>
        </w:rPr>
        <w:t>(北京时间)。供应商必须在此时间前将响应文件签字、盖章后的电子版上传至阳光七采采购平台。</w:t>
      </w:r>
    </w:p>
    <w:p w14:paraId="17353BC6">
      <w:pPr>
        <w:tabs>
          <w:tab w:val="left" w:pos="360"/>
        </w:tabs>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4.2 送样地址：</w:t>
      </w:r>
      <w:r>
        <w:rPr>
          <w:rFonts w:hint="eastAsia" w:ascii="仿宋" w:hAnsi="仿宋" w:eastAsia="仿宋" w:cs="仿宋"/>
          <w:sz w:val="24"/>
          <w:szCs w:val="24"/>
          <w:u w:val="single"/>
        </w:rPr>
        <w:t xml:space="preserve"> 北京市海淀区车道沟10号院东十楼西侧北方世纪公司 </w:t>
      </w:r>
      <w:r>
        <w:rPr>
          <w:rFonts w:hint="eastAsia" w:ascii="仿宋" w:hAnsi="仿宋" w:eastAsia="仿宋" w:cs="仿宋"/>
          <w:sz w:val="24"/>
          <w:szCs w:val="24"/>
        </w:rPr>
        <w:t>。</w:t>
      </w:r>
    </w:p>
    <w:p w14:paraId="7A35F478">
      <w:pPr>
        <w:tabs>
          <w:tab w:val="left" w:pos="360"/>
        </w:tabs>
        <w:spacing w:line="560" w:lineRule="exact"/>
        <w:ind w:firstLine="480" w:firstLineChars="200"/>
        <w:jc w:val="left"/>
        <w:rPr>
          <w:rFonts w:ascii="仿宋" w:hAnsi="仿宋" w:eastAsia="仿宋" w:cs="仿宋"/>
          <w:color w:val="auto"/>
          <w:sz w:val="24"/>
          <w:szCs w:val="24"/>
        </w:rPr>
      </w:pPr>
      <w:r>
        <w:rPr>
          <w:rFonts w:hint="eastAsia" w:ascii="仿宋" w:hAnsi="仿宋" w:eastAsia="仿宋" w:cs="仿宋"/>
          <w:sz w:val="24"/>
          <w:szCs w:val="24"/>
        </w:rPr>
        <w:t>4.3 逾期送达的、未送达指定地点的或者不按照询价采购文件要求密封的响应文件，将予以拒收。</w:t>
      </w:r>
      <w:r>
        <w:rPr>
          <w:rFonts w:hint="eastAsia" w:ascii="仿宋" w:hAnsi="仿宋" w:eastAsia="仿宋" w:cs="仿宋"/>
          <w:color w:val="auto"/>
          <w:sz w:val="24"/>
          <w:szCs w:val="24"/>
        </w:rPr>
        <w:t>（此条不适用网上递交响应文件）</w:t>
      </w:r>
    </w:p>
    <w:p w14:paraId="3B01A401">
      <w:pPr>
        <w:pStyle w:val="3"/>
        <w:spacing w:before="0" w:after="0" w:line="560" w:lineRule="exact"/>
        <w:jc w:val="left"/>
        <w:rPr>
          <w:rFonts w:ascii="黑体" w:hAnsi="黑体" w:cs="黑体"/>
          <w:b w:val="0"/>
          <w:bCs/>
          <w:sz w:val="24"/>
          <w:szCs w:val="24"/>
        </w:rPr>
      </w:pPr>
      <w:bookmarkStart w:id="27" w:name="_Toc40700961"/>
      <w:r>
        <w:rPr>
          <w:rFonts w:hint="eastAsia" w:ascii="黑体" w:hAnsi="黑体" w:cs="黑体"/>
          <w:b w:val="0"/>
          <w:bCs/>
          <w:sz w:val="24"/>
          <w:szCs w:val="24"/>
        </w:rPr>
        <w:t>5. 联系方式</w:t>
      </w:r>
      <w:bookmarkEnd w:id="27"/>
    </w:p>
    <w:p w14:paraId="3BC0204C">
      <w:pPr>
        <w:widowControl/>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采购人：北京北方世纪建筑装饰工程有限公司</w:t>
      </w:r>
    </w:p>
    <w:p w14:paraId="40FA0084">
      <w:pPr>
        <w:widowControl/>
        <w:spacing w:line="560" w:lineRule="exact"/>
        <w:ind w:firstLine="480" w:firstLineChars="200"/>
        <w:jc w:val="left"/>
        <w:rPr>
          <w:rFonts w:ascii="仿宋" w:hAnsi="仿宋" w:eastAsia="仿宋" w:cs="仿宋"/>
          <w:sz w:val="24"/>
          <w:szCs w:val="24"/>
          <w:u w:val="single"/>
        </w:rPr>
      </w:pPr>
      <w:r>
        <w:rPr>
          <w:rFonts w:hint="eastAsia" w:ascii="仿宋" w:hAnsi="仿宋" w:eastAsia="仿宋" w:cs="仿宋"/>
          <w:sz w:val="24"/>
          <w:szCs w:val="24"/>
        </w:rPr>
        <w:t>地址：北京市海淀区车道沟10号院东十楼西侧北方世纪公司</w:t>
      </w:r>
    </w:p>
    <w:p w14:paraId="68BFBEAD">
      <w:pPr>
        <w:widowControl/>
        <w:spacing w:line="560" w:lineRule="exact"/>
        <w:ind w:firstLine="480" w:firstLineChars="200"/>
        <w:jc w:val="left"/>
        <w:rPr>
          <w:rFonts w:ascii="仿宋" w:hAnsi="仿宋" w:eastAsia="仿宋" w:cs="仿宋"/>
          <w:sz w:val="24"/>
          <w:szCs w:val="24"/>
          <w:u w:val="single"/>
        </w:rPr>
      </w:pPr>
      <w:r>
        <w:rPr>
          <w:rFonts w:hint="eastAsia" w:ascii="仿宋" w:hAnsi="仿宋" w:eastAsia="仿宋" w:cs="仿宋"/>
          <w:sz w:val="24"/>
          <w:szCs w:val="24"/>
        </w:rPr>
        <w:t>联系人：</w:t>
      </w:r>
      <w:r>
        <w:rPr>
          <w:rFonts w:hint="eastAsia" w:ascii="仿宋" w:hAnsi="仿宋" w:eastAsia="仿宋" w:cs="仿宋"/>
          <w:sz w:val="24"/>
          <w:szCs w:val="24"/>
          <w:u w:val="single"/>
          <w:lang w:val="en-US" w:eastAsia="zh-CN"/>
        </w:rPr>
        <w:t>黄梦楠</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联系电话：</w:t>
      </w:r>
      <w:r>
        <w:rPr>
          <w:rFonts w:hint="eastAsia" w:ascii="仿宋" w:hAnsi="仿宋" w:eastAsia="仿宋" w:cs="仿宋"/>
          <w:sz w:val="24"/>
          <w:szCs w:val="24"/>
          <w:u w:val="single"/>
        </w:rPr>
        <w:t xml:space="preserve">01088829579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13717880043</w:t>
      </w:r>
    </w:p>
    <w:p w14:paraId="41531F6B">
      <w:pPr>
        <w:widowControl/>
        <w:spacing w:line="560" w:lineRule="exact"/>
        <w:ind w:firstLine="480" w:firstLineChars="200"/>
        <w:jc w:val="left"/>
        <w:rPr>
          <w:rFonts w:hint="default" w:ascii="仿宋" w:hAnsi="仿宋" w:eastAsia="仿宋" w:cs="仿宋"/>
          <w:sz w:val="24"/>
          <w:szCs w:val="24"/>
          <w:lang w:val="en-US" w:eastAsia="zh-CN"/>
        </w:rPr>
      </w:pPr>
      <w:r>
        <w:rPr>
          <w:rFonts w:hint="eastAsia" w:ascii="仿宋" w:hAnsi="仿宋" w:eastAsia="仿宋" w:cs="仿宋"/>
          <w:sz w:val="24"/>
          <w:szCs w:val="24"/>
        </w:rPr>
        <w:t>联系人：</w:t>
      </w:r>
      <w:r>
        <w:rPr>
          <w:rFonts w:hint="eastAsia" w:ascii="仿宋" w:hAnsi="仿宋" w:eastAsia="仿宋" w:cs="仿宋"/>
          <w:sz w:val="24"/>
          <w:szCs w:val="24"/>
          <w:u w:val="single"/>
          <w:lang w:val="en-US" w:eastAsia="zh-CN"/>
        </w:rPr>
        <w:t>魏  冰</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联系电话：</w:t>
      </w:r>
      <w:r>
        <w:rPr>
          <w:rFonts w:hint="eastAsia" w:ascii="仿宋" w:hAnsi="仿宋" w:eastAsia="仿宋" w:cs="仿宋"/>
          <w:sz w:val="24"/>
          <w:szCs w:val="24"/>
          <w:u w:val="single"/>
        </w:rPr>
        <w:t xml:space="preserve">01088829331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18601928630</w:t>
      </w:r>
    </w:p>
    <w:p w14:paraId="37CA8B9E">
      <w:pPr>
        <w:widowControl/>
        <w:spacing w:line="560" w:lineRule="exact"/>
        <w:ind w:firstLine="720" w:firstLineChars="200"/>
        <w:jc w:val="left"/>
        <w:rPr>
          <w:rFonts w:ascii="仿宋" w:hAnsi="仿宋" w:eastAsia="仿宋" w:cs="仿宋"/>
          <w:sz w:val="36"/>
          <w:szCs w:val="36"/>
        </w:rPr>
      </w:pPr>
      <w:r>
        <w:rPr>
          <w:rFonts w:hint="eastAsia" w:ascii="仿宋" w:hAnsi="仿宋" w:eastAsia="仿宋" w:cs="仿宋"/>
          <w:sz w:val="36"/>
          <w:szCs w:val="36"/>
        </w:rPr>
        <w:br w:type="page"/>
      </w:r>
    </w:p>
    <w:p w14:paraId="2A413C95">
      <w:pPr>
        <w:pStyle w:val="2"/>
        <w:spacing w:after="156" w:afterLines="50" w:line="560" w:lineRule="exact"/>
        <w:jc w:val="center"/>
        <w:rPr>
          <w:rFonts w:ascii="仿宋" w:hAnsi="仿宋" w:eastAsia="仿宋" w:cs="仿宋"/>
          <w:sz w:val="36"/>
          <w:szCs w:val="36"/>
        </w:rPr>
      </w:pPr>
      <w:r>
        <w:rPr>
          <w:rFonts w:hint="eastAsia" w:ascii="黑体" w:hAnsi="黑体" w:eastAsia="黑体" w:cs="黑体"/>
          <w:b w:val="0"/>
          <w:bCs/>
          <w:sz w:val="30"/>
          <w:szCs w:val="30"/>
        </w:rPr>
        <w:t>第二章 供应商须知</w:t>
      </w:r>
    </w:p>
    <w:p w14:paraId="0C9019A3">
      <w:pPr>
        <w:pStyle w:val="3"/>
        <w:spacing w:before="0" w:after="0" w:line="560" w:lineRule="exact"/>
        <w:rPr>
          <w:rFonts w:ascii="黑体" w:hAnsi="黑体" w:cs="黑体"/>
          <w:b w:val="0"/>
          <w:bCs/>
          <w:sz w:val="24"/>
          <w:szCs w:val="24"/>
        </w:rPr>
      </w:pPr>
      <w:bookmarkStart w:id="28" w:name="_Toc152045528"/>
      <w:bookmarkStart w:id="29" w:name="_Toc152042304"/>
      <w:bookmarkStart w:id="30" w:name="_Toc179632545"/>
      <w:bookmarkStart w:id="31" w:name="_Toc40700963"/>
      <w:bookmarkStart w:id="32" w:name="_Toc144974496"/>
      <w:bookmarkStart w:id="33" w:name="_Toc246996174"/>
      <w:bookmarkStart w:id="34" w:name="_Toc246996917"/>
      <w:bookmarkStart w:id="35" w:name="_Toc247085688"/>
      <w:r>
        <w:rPr>
          <w:rFonts w:hint="eastAsia" w:ascii="黑体" w:hAnsi="黑体" w:cs="黑体"/>
          <w:b w:val="0"/>
          <w:bCs/>
          <w:sz w:val="24"/>
          <w:szCs w:val="24"/>
        </w:rPr>
        <w:t>供应商须知前附表</w:t>
      </w:r>
      <w:bookmarkEnd w:id="28"/>
      <w:bookmarkEnd w:id="29"/>
      <w:bookmarkEnd w:id="30"/>
      <w:bookmarkEnd w:id="31"/>
      <w:bookmarkEnd w:id="32"/>
      <w:bookmarkEnd w:id="33"/>
      <w:bookmarkEnd w:id="34"/>
      <w:bookmarkEnd w:id="35"/>
    </w:p>
    <w:tbl>
      <w:tblPr>
        <w:tblStyle w:val="23"/>
        <w:tblpPr w:leftFromText="180" w:rightFromText="180" w:vertAnchor="text" w:horzAnchor="page" w:tblpX="1060" w:tblpY="114"/>
        <w:tblOverlap w:val="never"/>
        <w:tblW w:w="10009" w:type="dxa"/>
        <w:tblInd w:w="0" w:type="dxa"/>
        <w:tblLayout w:type="fixed"/>
        <w:tblCellMar>
          <w:top w:w="0" w:type="dxa"/>
          <w:left w:w="108" w:type="dxa"/>
          <w:bottom w:w="0" w:type="dxa"/>
          <w:right w:w="108" w:type="dxa"/>
        </w:tblCellMar>
      </w:tblPr>
      <w:tblGrid>
        <w:gridCol w:w="1056"/>
        <w:gridCol w:w="2458"/>
        <w:gridCol w:w="6495"/>
      </w:tblGrid>
      <w:tr w14:paraId="70ADD87F">
        <w:tblPrEx>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vAlign w:val="center"/>
          </w:tcPr>
          <w:p w14:paraId="78761552">
            <w:pPr>
              <w:spacing w:line="360" w:lineRule="auto"/>
              <w:jc w:val="center"/>
              <w:rPr>
                <w:rFonts w:ascii="仿宋" w:hAnsi="仿宋" w:eastAsia="仿宋" w:cs="仿宋"/>
                <w:b/>
                <w:szCs w:val="21"/>
              </w:rPr>
            </w:pPr>
            <w:r>
              <w:rPr>
                <w:rFonts w:hint="eastAsia" w:ascii="仿宋" w:hAnsi="仿宋" w:eastAsia="仿宋" w:cs="仿宋"/>
                <w:b/>
                <w:szCs w:val="21"/>
              </w:rPr>
              <w:t>条款号</w:t>
            </w:r>
          </w:p>
        </w:tc>
        <w:tc>
          <w:tcPr>
            <w:tcW w:w="2458" w:type="dxa"/>
            <w:tcBorders>
              <w:top w:val="single" w:color="auto" w:sz="4" w:space="0"/>
              <w:left w:val="single" w:color="auto" w:sz="4" w:space="0"/>
              <w:bottom w:val="single" w:color="auto" w:sz="4" w:space="0"/>
              <w:right w:val="single" w:color="auto" w:sz="4" w:space="0"/>
            </w:tcBorders>
            <w:vAlign w:val="center"/>
          </w:tcPr>
          <w:p w14:paraId="41B52230">
            <w:pPr>
              <w:spacing w:line="360" w:lineRule="auto"/>
              <w:jc w:val="center"/>
              <w:rPr>
                <w:rFonts w:ascii="仿宋" w:hAnsi="仿宋" w:eastAsia="仿宋" w:cs="仿宋"/>
                <w:b/>
                <w:szCs w:val="21"/>
              </w:rPr>
            </w:pPr>
            <w:r>
              <w:rPr>
                <w:rFonts w:hint="eastAsia" w:ascii="仿宋" w:hAnsi="仿宋" w:eastAsia="仿宋" w:cs="仿宋"/>
                <w:b/>
                <w:szCs w:val="21"/>
              </w:rPr>
              <w:t>条  款  名  称</w:t>
            </w:r>
          </w:p>
        </w:tc>
        <w:tc>
          <w:tcPr>
            <w:tcW w:w="6495" w:type="dxa"/>
            <w:tcBorders>
              <w:top w:val="single" w:color="auto" w:sz="4" w:space="0"/>
              <w:left w:val="single" w:color="auto" w:sz="4" w:space="0"/>
              <w:bottom w:val="single" w:color="auto" w:sz="4" w:space="0"/>
              <w:right w:val="single" w:color="auto" w:sz="4" w:space="0"/>
            </w:tcBorders>
            <w:vAlign w:val="center"/>
          </w:tcPr>
          <w:p w14:paraId="2DE506E2">
            <w:pPr>
              <w:spacing w:line="360" w:lineRule="auto"/>
              <w:jc w:val="center"/>
              <w:rPr>
                <w:rFonts w:ascii="仿宋" w:hAnsi="仿宋" w:eastAsia="仿宋" w:cs="仿宋"/>
                <w:b/>
                <w:szCs w:val="21"/>
              </w:rPr>
            </w:pPr>
            <w:r>
              <w:rPr>
                <w:rFonts w:hint="eastAsia" w:ascii="仿宋" w:hAnsi="仿宋" w:eastAsia="仿宋" w:cs="仿宋"/>
                <w:b/>
                <w:szCs w:val="21"/>
              </w:rPr>
              <w:t>编  列  内  容</w:t>
            </w:r>
          </w:p>
        </w:tc>
      </w:tr>
      <w:tr w14:paraId="48852C02">
        <w:tblPrEx>
          <w:tblCellMar>
            <w:top w:w="0" w:type="dxa"/>
            <w:left w:w="108" w:type="dxa"/>
            <w:bottom w:w="0" w:type="dxa"/>
            <w:right w:w="108" w:type="dxa"/>
          </w:tblCellMar>
        </w:tblPrEx>
        <w:trPr>
          <w:trHeight w:val="90" w:hRule="atLeast"/>
        </w:trPr>
        <w:tc>
          <w:tcPr>
            <w:tcW w:w="1056" w:type="dxa"/>
            <w:tcBorders>
              <w:top w:val="single" w:color="auto" w:sz="4" w:space="0"/>
              <w:left w:val="single" w:color="auto" w:sz="4" w:space="0"/>
              <w:bottom w:val="single" w:color="auto" w:sz="4" w:space="0"/>
              <w:right w:val="single" w:color="auto" w:sz="4" w:space="0"/>
            </w:tcBorders>
            <w:vAlign w:val="center"/>
          </w:tcPr>
          <w:p w14:paraId="34713AD7">
            <w:pPr>
              <w:spacing w:line="360" w:lineRule="auto"/>
              <w:jc w:val="center"/>
              <w:rPr>
                <w:rFonts w:ascii="仿宋" w:hAnsi="仿宋" w:eastAsia="仿宋" w:cs="仿宋"/>
                <w:szCs w:val="21"/>
              </w:rPr>
            </w:pPr>
            <w:r>
              <w:rPr>
                <w:rFonts w:hint="eastAsia" w:ascii="仿宋" w:hAnsi="仿宋" w:eastAsia="仿宋" w:cs="仿宋"/>
                <w:szCs w:val="21"/>
              </w:rPr>
              <w:t>1.8</w:t>
            </w:r>
          </w:p>
        </w:tc>
        <w:tc>
          <w:tcPr>
            <w:tcW w:w="2458" w:type="dxa"/>
            <w:tcBorders>
              <w:top w:val="single" w:color="auto" w:sz="4" w:space="0"/>
              <w:left w:val="single" w:color="auto" w:sz="4" w:space="0"/>
              <w:bottom w:val="single" w:color="auto" w:sz="4" w:space="0"/>
              <w:right w:val="single" w:color="auto" w:sz="4" w:space="0"/>
            </w:tcBorders>
            <w:vAlign w:val="center"/>
          </w:tcPr>
          <w:p w14:paraId="66DB6F0C">
            <w:pPr>
              <w:spacing w:line="360" w:lineRule="auto"/>
              <w:jc w:val="center"/>
              <w:rPr>
                <w:rFonts w:ascii="仿宋" w:hAnsi="仿宋" w:eastAsia="仿宋" w:cs="仿宋"/>
                <w:szCs w:val="21"/>
              </w:rPr>
            </w:pPr>
            <w:r>
              <w:rPr>
                <w:rFonts w:hint="eastAsia" w:ascii="仿宋" w:hAnsi="仿宋" w:eastAsia="仿宋" w:cs="仿宋"/>
                <w:szCs w:val="21"/>
              </w:rPr>
              <w:t>踏勘现场</w:t>
            </w:r>
          </w:p>
        </w:tc>
        <w:tc>
          <w:tcPr>
            <w:tcW w:w="6495" w:type="dxa"/>
            <w:tcBorders>
              <w:top w:val="single" w:color="auto" w:sz="4" w:space="0"/>
              <w:left w:val="single" w:color="auto" w:sz="4" w:space="0"/>
              <w:bottom w:val="single" w:color="auto" w:sz="4" w:space="0"/>
              <w:right w:val="single" w:color="auto" w:sz="4" w:space="0"/>
            </w:tcBorders>
            <w:vAlign w:val="center"/>
          </w:tcPr>
          <w:p w14:paraId="107A5D53">
            <w:pPr>
              <w:pStyle w:val="9"/>
              <w:topLinePunct/>
              <w:spacing w:line="360" w:lineRule="auto"/>
              <w:rPr>
                <w:rFonts w:ascii="仿宋" w:hAnsi="仿宋" w:eastAsia="仿宋" w:cs="仿宋"/>
                <w:sz w:val="21"/>
                <w:szCs w:val="21"/>
              </w:rPr>
            </w:pPr>
            <w:r>
              <w:rPr>
                <w:rFonts w:hint="eastAsia" w:ascii="仿宋" w:hAnsi="仿宋" w:eastAsia="仿宋" w:cs="仿宋"/>
                <w:sz w:val="21"/>
                <w:szCs w:val="21"/>
              </w:rPr>
              <w:sym w:font="Wingdings 2" w:char="0052"/>
            </w:r>
            <w:r>
              <w:rPr>
                <w:rFonts w:hint="eastAsia" w:ascii="仿宋" w:hAnsi="仿宋" w:eastAsia="仿宋" w:cs="仿宋"/>
                <w:sz w:val="21"/>
                <w:szCs w:val="21"/>
              </w:rPr>
              <w:t xml:space="preserve">不组织      </w:t>
            </w:r>
          </w:p>
          <w:p w14:paraId="49BA33A4">
            <w:pPr>
              <w:pStyle w:val="9"/>
              <w:topLinePunct/>
              <w:spacing w:line="360" w:lineRule="auto"/>
              <w:rPr>
                <w:rFonts w:ascii="仿宋" w:hAnsi="仿宋" w:eastAsia="仿宋" w:cs="仿宋"/>
                <w:sz w:val="21"/>
                <w:szCs w:val="21"/>
              </w:rPr>
            </w:pPr>
            <w:r>
              <w:rPr>
                <w:rFonts w:hint="eastAsia" w:ascii="仿宋" w:hAnsi="仿宋" w:eastAsia="仿宋" w:cs="仿宋"/>
                <w:sz w:val="21"/>
                <w:szCs w:val="21"/>
              </w:rPr>
              <w:t>□组织，踏勘时间：</w:t>
            </w:r>
            <w:r>
              <w:rPr>
                <w:rFonts w:hint="eastAsia" w:ascii="仿宋" w:hAnsi="仿宋" w:eastAsia="仿宋" w:cs="仿宋"/>
                <w:sz w:val="21"/>
                <w:szCs w:val="21"/>
                <w:u w:val="single"/>
              </w:rPr>
              <w:t xml:space="preserve">                </w:t>
            </w:r>
          </w:p>
          <w:p w14:paraId="516FE510">
            <w:pPr>
              <w:spacing w:line="360" w:lineRule="auto"/>
              <w:ind w:firstLine="210" w:firstLineChars="100"/>
              <w:rPr>
                <w:rFonts w:ascii="仿宋" w:hAnsi="仿宋" w:eastAsia="仿宋" w:cs="仿宋"/>
                <w:szCs w:val="21"/>
              </w:rPr>
            </w:pPr>
            <w:r>
              <w:rPr>
                <w:rFonts w:hint="eastAsia" w:ascii="仿宋" w:hAnsi="仿宋" w:eastAsia="仿宋" w:cs="仿宋"/>
                <w:szCs w:val="21"/>
              </w:rPr>
              <w:t>踏勘集中地点：</w:t>
            </w:r>
            <w:r>
              <w:rPr>
                <w:rFonts w:hint="eastAsia" w:ascii="仿宋" w:hAnsi="仿宋" w:eastAsia="仿宋" w:cs="仿宋"/>
                <w:szCs w:val="21"/>
                <w:u w:val="single"/>
              </w:rPr>
              <w:t xml:space="preserve">                  </w:t>
            </w:r>
            <w:r>
              <w:rPr>
                <w:rFonts w:hint="eastAsia" w:ascii="仿宋" w:hAnsi="仿宋" w:eastAsia="仿宋" w:cs="仿宋"/>
                <w:szCs w:val="21"/>
              </w:rPr>
              <w:t xml:space="preserve"> </w:t>
            </w:r>
          </w:p>
        </w:tc>
      </w:tr>
      <w:tr w14:paraId="11982484">
        <w:tblPrEx>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vAlign w:val="center"/>
          </w:tcPr>
          <w:p w14:paraId="27C9F8FC">
            <w:pPr>
              <w:spacing w:line="360" w:lineRule="auto"/>
              <w:jc w:val="center"/>
              <w:rPr>
                <w:rFonts w:ascii="仿宋" w:hAnsi="仿宋" w:eastAsia="仿宋" w:cs="仿宋"/>
                <w:szCs w:val="21"/>
              </w:rPr>
            </w:pPr>
            <w:r>
              <w:rPr>
                <w:rFonts w:hint="eastAsia" w:ascii="仿宋" w:hAnsi="仿宋" w:eastAsia="仿宋" w:cs="仿宋"/>
                <w:szCs w:val="21"/>
              </w:rPr>
              <w:t>1.9</w:t>
            </w:r>
          </w:p>
        </w:tc>
        <w:tc>
          <w:tcPr>
            <w:tcW w:w="2458" w:type="dxa"/>
            <w:tcBorders>
              <w:top w:val="single" w:color="auto" w:sz="4" w:space="0"/>
              <w:left w:val="single" w:color="auto" w:sz="4" w:space="0"/>
              <w:bottom w:val="single" w:color="auto" w:sz="4" w:space="0"/>
              <w:right w:val="single" w:color="auto" w:sz="4" w:space="0"/>
            </w:tcBorders>
            <w:vAlign w:val="center"/>
          </w:tcPr>
          <w:p w14:paraId="7AB9AD00">
            <w:pPr>
              <w:spacing w:line="360" w:lineRule="auto"/>
              <w:jc w:val="center"/>
              <w:rPr>
                <w:rFonts w:ascii="仿宋" w:hAnsi="仿宋" w:eastAsia="仿宋" w:cs="仿宋"/>
                <w:szCs w:val="21"/>
              </w:rPr>
            </w:pPr>
            <w:r>
              <w:rPr>
                <w:rFonts w:hint="eastAsia" w:ascii="仿宋" w:hAnsi="仿宋" w:eastAsia="仿宋" w:cs="仿宋"/>
                <w:szCs w:val="21"/>
              </w:rPr>
              <w:t>询价采购预备会</w:t>
            </w:r>
          </w:p>
        </w:tc>
        <w:tc>
          <w:tcPr>
            <w:tcW w:w="6495" w:type="dxa"/>
            <w:tcBorders>
              <w:top w:val="single" w:color="auto" w:sz="4" w:space="0"/>
              <w:left w:val="single" w:color="auto" w:sz="4" w:space="0"/>
              <w:bottom w:val="single" w:color="auto" w:sz="4" w:space="0"/>
              <w:right w:val="single" w:color="auto" w:sz="4" w:space="0"/>
            </w:tcBorders>
            <w:vAlign w:val="center"/>
          </w:tcPr>
          <w:p w14:paraId="48F3630B">
            <w:pPr>
              <w:pStyle w:val="9"/>
              <w:topLinePunct/>
              <w:spacing w:line="360" w:lineRule="auto"/>
              <w:rPr>
                <w:rFonts w:ascii="仿宋" w:hAnsi="仿宋" w:eastAsia="仿宋" w:cs="仿宋"/>
                <w:sz w:val="21"/>
                <w:szCs w:val="21"/>
              </w:rPr>
            </w:pPr>
            <w:r>
              <w:rPr>
                <w:rFonts w:hint="eastAsia" w:ascii="仿宋" w:hAnsi="仿宋" w:eastAsia="仿宋" w:cs="仿宋"/>
                <w:sz w:val="21"/>
                <w:szCs w:val="21"/>
              </w:rPr>
              <w:sym w:font="Wingdings 2" w:char="0052"/>
            </w:r>
            <w:r>
              <w:rPr>
                <w:rFonts w:hint="eastAsia" w:ascii="仿宋" w:hAnsi="仿宋" w:eastAsia="仿宋" w:cs="仿宋"/>
                <w:sz w:val="21"/>
                <w:szCs w:val="21"/>
              </w:rPr>
              <w:t xml:space="preserve">不召开     </w:t>
            </w:r>
          </w:p>
          <w:p w14:paraId="63ADE26D">
            <w:pPr>
              <w:pStyle w:val="9"/>
              <w:topLinePunct/>
              <w:spacing w:line="360" w:lineRule="auto"/>
              <w:rPr>
                <w:rFonts w:ascii="仿宋" w:hAnsi="仿宋" w:eastAsia="仿宋" w:cs="仿宋"/>
                <w:sz w:val="21"/>
                <w:szCs w:val="21"/>
              </w:rPr>
            </w:pPr>
            <w:r>
              <w:rPr>
                <w:rFonts w:hint="eastAsia" w:ascii="仿宋" w:hAnsi="仿宋" w:eastAsia="仿宋" w:cs="仿宋"/>
                <w:sz w:val="21"/>
                <w:szCs w:val="21"/>
              </w:rPr>
              <w:t>□召开，召开时间：</w:t>
            </w:r>
            <w:r>
              <w:rPr>
                <w:rFonts w:hint="eastAsia" w:ascii="仿宋" w:hAnsi="仿宋" w:eastAsia="仿宋" w:cs="仿宋"/>
                <w:sz w:val="21"/>
                <w:szCs w:val="21"/>
                <w:u w:val="single"/>
              </w:rPr>
              <w:t xml:space="preserve">                </w:t>
            </w:r>
          </w:p>
          <w:p w14:paraId="2BB59BCA">
            <w:pPr>
              <w:pStyle w:val="9"/>
              <w:topLinePunct/>
              <w:spacing w:line="360" w:lineRule="auto"/>
              <w:ind w:firstLine="210" w:firstLineChars="100"/>
              <w:rPr>
                <w:rFonts w:ascii="仿宋" w:hAnsi="仿宋" w:eastAsia="仿宋" w:cs="仿宋"/>
                <w:sz w:val="21"/>
                <w:szCs w:val="21"/>
              </w:rPr>
            </w:pPr>
            <w:r>
              <w:rPr>
                <w:rFonts w:hint="eastAsia" w:ascii="仿宋" w:hAnsi="仿宋" w:eastAsia="仿宋" w:cs="仿宋"/>
                <w:sz w:val="21"/>
                <w:szCs w:val="21"/>
              </w:rPr>
              <w:t>召开地点：</w:t>
            </w:r>
            <w:r>
              <w:rPr>
                <w:rFonts w:hint="eastAsia" w:ascii="仿宋" w:hAnsi="仿宋" w:eastAsia="仿宋" w:cs="仿宋"/>
                <w:sz w:val="21"/>
                <w:szCs w:val="21"/>
                <w:u w:val="single"/>
              </w:rPr>
              <w:t xml:space="preserve">                      </w:t>
            </w:r>
          </w:p>
        </w:tc>
      </w:tr>
      <w:tr w14:paraId="487E9839">
        <w:tblPrEx>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vAlign w:val="center"/>
          </w:tcPr>
          <w:p w14:paraId="5AB60FC4">
            <w:pPr>
              <w:spacing w:line="360" w:lineRule="auto"/>
              <w:jc w:val="center"/>
              <w:rPr>
                <w:rFonts w:ascii="仿宋" w:hAnsi="仿宋" w:eastAsia="仿宋" w:cs="仿宋"/>
                <w:szCs w:val="21"/>
              </w:rPr>
            </w:pPr>
            <w:r>
              <w:rPr>
                <w:rFonts w:hint="eastAsia" w:ascii="仿宋" w:hAnsi="仿宋" w:eastAsia="仿宋" w:cs="仿宋"/>
                <w:szCs w:val="21"/>
              </w:rPr>
              <w:t>1.9.2</w:t>
            </w:r>
          </w:p>
        </w:tc>
        <w:tc>
          <w:tcPr>
            <w:tcW w:w="2458" w:type="dxa"/>
            <w:tcBorders>
              <w:top w:val="single" w:color="auto" w:sz="4" w:space="0"/>
              <w:left w:val="single" w:color="auto" w:sz="4" w:space="0"/>
              <w:bottom w:val="single" w:color="auto" w:sz="4" w:space="0"/>
              <w:right w:val="single" w:color="auto" w:sz="4" w:space="0"/>
            </w:tcBorders>
            <w:vAlign w:val="center"/>
          </w:tcPr>
          <w:p w14:paraId="2238D63F">
            <w:pPr>
              <w:spacing w:line="360" w:lineRule="auto"/>
              <w:jc w:val="center"/>
              <w:rPr>
                <w:rFonts w:ascii="仿宋" w:hAnsi="仿宋" w:eastAsia="仿宋" w:cs="仿宋"/>
                <w:szCs w:val="21"/>
              </w:rPr>
            </w:pPr>
            <w:r>
              <w:rPr>
                <w:rFonts w:hint="eastAsia" w:ascii="仿宋" w:hAnsi="仿宋" w:eastAsia="仿宋" w:cs="仿宋"/>
                <w:szCs w:val="21"/>
              </w:rPr>
              <w:t>供应商提出问题的截止时间及方式</w:t>
            </w:r>
          </w:p>
        </w:tc>
        <w:tc>
          <w:tcPr>
            <w:tcW w:w="6495" w:type="dxa"/>
            <w:tcBorders>
              <w:top w:val="single" w:color="auto" w:sz="4" w:space="0"/>
              <w:left w:val="single" w:color="auto" w:sz="4" w:space="0"/>
              <w:bottom w:val="single" w:color="auto" w:sz="4" w:space="0"/>
              <w:right w:val="single" w:color="auto" w:sz="4" w:space="0"/>
            </w:tcBorders>
            <w:vAlign w:val="center"/>
          </w:tcPr>
          <w:p w14:paraId="48997E85">
            <w:pPr>
              <w:spacing w:line="360" w:lineRule="auto"/>
              <w:rPr>
                <w:rFonts w:ascii="仿宋" w:hAnsi="仿宋" w:eastAsia="仿宋" w:cs="仿宋"/>
                <w:szCs w:val="21"/>
              </w:rPr>
            </w:pPr>
            <w:r>
              <w:rPr>
                <w:rFonts w:hint="eastAsia" w:ascii="仿宋" w:hAnsi="仿宋" w:eastAsia="仿宋" w:cs="仿宋"/>
                <w:szCs w:val="21"/>
              </w:rPr>
              <w:t>截止时间：响应文件递交截止时间1日前</w:t>
            </w:r>
          </w:p>
          <w:p w14:paraId="776DC7DE">
            <w:pPr>
              <w:spacing w:line="360" w:lineRule="auto"/>
              <w:ind w:firstLine="420" w:firstLineChars="200"/>
              <w:rPr>
                <w:rFonts w:ascii="仿宋" w:hAnsi="仿宋" w:eastAsia="仿宋" w:cs="仿宋"/>
                <w:szCs w:val="21"/>
              </w:rPr>
            </w:pPr>
            <w:r>
              <w:rPr>
                <w:rFonts w:hint="eastAsia" w:ascii="仿宋" w:hAnsi="仿宋" w:eastAsia="仿宋" w:cs="仿宋"/>
                <w:szCs w:val="21"/>
              </w:rPr>
              <w:t>方式：电子邮件</w:t>
            </w:r>
            <w:r>
              <w:rPr>
                <w:rFonts w:hint="eastAsia" w:ascii="仿宋" w:hAnsi="仿宋" w:eastAsia="仿宋" w:cs="仿宋"/>
                <w:szCs w:val="21"/>
                <w:u w:val="single"/>
              </w:rPr>
              <w:t xml:space="preserve">                </w:t>
            </w:r>
          </w:p>
        </w:tc>
      </w:tr>
      <w:tr w14:paraId="0E97685D">
        <w:tblPrEx>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vAlign w:val="center"/>
          </w:tcPr>
          <w:p w14:paraId="7CF47600">
            <w:pPr>
              <w:spacing w:line="360" w:lineRule="auto"/>
              <w:jc w:val="center"/>
              <w:rPr>
                <w:rFonts w:ascii="仿宋" w:hAnsi="仿宋" w:eastAsia="仿宋" w:cs="仿宋"/>
                <w:szCs w:val="21"/>
              </w:rPr>
            </w:pPr>
            <w:r>
              <w:rPr>
                <w:rFonts w:hint="eastAsia" w:ascii="仿宋" w:hAnsi="仿宋" w:eastAsia="仿宋" w:cs="仿宋"/>
                <w:szCs w:val="21"/>
              </w:rPr>
              <w:t>1.9.3</w:t>
            </w:r>
          </w:p>
        </w:tc>
        <w:tc>
          <w:tcPr>
            <w:tcW w:w="2458" w:type="dxa"/>
            <w:tcBorders>
              <w:top w:val="single" w:color="auto" w:sz="4" w:space="0"/>
              <w:left w:val="single" w:color="auto" w:sz="4" w:space="0"/>
              <w:bottom w:val="single" w:color="auto" w:sz="4" w:space="0"/>
              <w:right w:val="single" w:color="auto" w:sz="4" w:space="0"/>
            </w:tcBorders>
            <w:vAlign w:val="center"/>
          </w:tcPr>
          <w:p w14:paraId="418D8A5A">
            <w:pPr>
              <w:spacing w:line="360" w:lineRule="auto"/>
              <w:jc w:val="center"/>
              <w:rPr>
                <w:rFonts w:ascii="仿宋" w:hAnsi="仿宋" w:eastAsia="仿宋" w:cs="仿宋"/>
                <w:szCs w:val="21"/>
              </w:rPr>
            </w:pPr>
            <w:r>
              <w:rPr>
                <w:rFonts w:hint="eastAsia" w:ascii="仿宋" w:hAnsi="仿宋" w:eastAsia="仿宋" w:cs="仿宋"/>
                <w:szCs w:val="21"/>
              </w:rPr>
              <w:t>采购人书面澄清的时间及方式</w:t>
            </w:r>
          </w:p>
        </w:tc>
        <w:tc>
          <w:tcPr>
            <w:tcW w:w="6495" w:type="dxa"/>
            <w:tcBorders>
              <w:top w:val="single" w:color="auto" w:sz="4" w:space="0"/>
              <w:left w:val="single" w:color="auto" w:sz="4" w:space="0"/>
              <w:bottom w:val="single" w:color="auto" w:sz="4" w:space="0"/>
              <w:right w:val="single" w:color="auto" w:sz="4" w:space="0"/>
            </w:tcBorders>
            <w:vAlign w:val="center"/>
          </w:tcPr>
          <w:p w14:paraId="255EE3BF">
            <w:pPr>
              <w:spacing w:line="360" w:lineRule="auto"/>
              <w:rPr>
                <w:rFonts w:ascii="仿宋" w:hAnsi="仿宋" w:eastAsia="仿宋" w:cs="仿宋"/>
                <w:szCs w:val="21"/>
              </w:rPr>
            </w:pPr>
            <w:r>
              <w:rPr>
                <w:rFonts w:hint="eastAsia" w:ascii="仿宋" w:hAnsi="仿宋" w:eastAsia="仿宋" w:cs="仿宋"/>
                <w:szCs w:val="21"/>
              </w:rPr>
              <w:t>截止时间：响应文件递交截止时间1日前</w:t>
            </w:r>
          </w:p>
          <w:p w14:paraId="7EBBDFD6">
            <w:pPr>
              <w:spacing w:line="360" w:lineRule="auto"/>
              <w:ind w:firstLine="420" w:firstLineChars="200"/>
              <w:rPr>
                <w:rFonts w:ascii="仿宋" w:hAnsi="仿宋" w:eastAsia="仿宋" w:cs="仿宋"/>
                <w:szCs w:val="21"/>
              </w:rPr>
            </w:pPr>
            <w:r>
              <w:rPr>
                <w:rFonts w:hint="eastAsia" w:ascii="仿宋" w:hAnsi="仿宋" w:eastAsia="仿宋" w:cs="仿宋"/>
                <w:szCs w:val="21"/>
              </w:rPr>
              <w:t>方式：电子邮件</w:t>
            </w:r>
            <w:r>
              <w:rPr>
                <w:rFonts w:hint="eastAsia" w:ascii="仿宋" w:hAnsi="仿宋" w:eastAsia="仿宋" w:cs="仿宋"/>
                <w:szCs w:val="21"/>
                <w:u w:val="single"/>
              </w:rPr>
              <w:t xml:space="preserve">                </w:t>
            </w:r>
          </w:p>
        </w:tc>
      </w:tr>
      <w:tr w14:paraId="789DDFD0">
        <w:tblPrEx>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vAlign w:val="center"/>
          </w:tcPr>
          <w:p w14:paraId="69413C75">
            <w:pPr>
              <w:spacing w:line="360" w:lineRule="auto"/>
              <w:jc w:val="center"/>
              <w:rPr>
                <w:rFonts w:ascii="仿宋" w:hAnsi="仿宋" w:eastAsia="仿宋" w:cs="仿宋"/>
                <w:szCs w:val="21"/>
              </w:rPr>
            </w:pPr>
            <w:r>
              <w:rPr>
                <w:rFonts w:hint="eastAsia" w:ascii="仿宋" w:hAnsi="仿宋" w:eastAsia="仿宋" w:cs="仿宋"/>
                <w:szCs w:val="21"/>
              </w:rPr>
              <w:t>1.10</w:t>
            </w:r>
          </w:p>
        </w:tc>
        <w:tc>
          <w:tcPr>
            <w:tcW w:w="2458" w:type="dxa"/>
            <w:tcBorders>
              <w:top w:val="single" w:color="auto" w:sz="4" w:space="0"/>
              <w:left w:val="single" w:color="auto" w:sz="4" w:space="0"/>
              <w:bottom w:val="single" w:color="auto" w:sz="4" w:space="0"/>
              <w:right w:val="single" w:color="auto" w:sz="4" w:space="0"/>
            </w:tcBorders>
            <w:vAlign w:val="center"/>
          </w:tcPr>
          <w:p w14:paraId="40AD183E">
            <w:pPr>
              <w:spacing w:line="360" w:lineRule="auto"/>
              <w:jc w:val="center"/>
              <w:rPr>
                <w:rFonts w:ascii="仿宋" w:hAnsi="仿宋" w:eastAsia="仿宋" w:cs="仿宋"/>
                <w:szCs w:val="21"/>
              </w:rPr>
            </w:pPr>
            <w:r>
              <w:rPr>
                <w:rFonts w:hint="eastAsia" w:ascii="仿宋" w:hAnsi="仿宋" w:eastAsia="仿宋" w:cs="仿宋"/>
                <w:szCs w:val="21"/>
              </w:rPr>
              <w:t>偏离</w:t>
            </w:r>
          </w:p>
        </w:tc>
        <w:tc>
          <w:tcPr>
            <w:tcW w:w="6495" w:type="dxa"/>
            <w:tcBorders>
              <w:top w:val="single" w:color="auto" w:sz="4" w:space="0"/>
              <w:left w:val="single" w:color="auto" w:sz="4" w:space="0"/>
              <w:bottom w:val="single" w:color="auto" w:sz="4" w:space="0"/>
              <w:right w:val="single" w:color="auto" w:sz="4" w:space="0"/>
            </w:tcBorders>
            <w:vAlign w:val="center"/>
          </w:tcPr>
          <w:p w14:paraId="2043E40E">
            <w:pPr>
              <w:pStyle w:val="9"/>
              <w:topLinePunct/>
              <w:spacing w:line="360" w:lineRule="auto"/>
              <w:rPr>
                <w:rFonts w:ascii="仿宋" w:hAnsi="仿宋" w:eastAsia="仿宋" w:cs="仿宋"/>
                <w:sz w:val="21"/>
                <w:szCs w:val="21"/>
              </w:rPr>
            </w:pPr>
            <w:r>
              <w:rPr>
                <w:rFonts w:hint="eastAsia" w:ascii="仿宋" w:hAnsi="仿宋" w:eastAsia="仿宋" w:cs="仿宋"/>
                <w:sz w:val="21"/>
                <w:szCs w:val="21"/>
              </w:rPr>
              <w:sym w:font="Wingdings 2" w:char="0052"/>
            </w:r>
            <w:r>
              <w:rPr>
                <w:rFonts w:hint="eastAsia" w:ascii="仿宋" w:hAnsi="仿宋" w:eastAsia="仿宋" w:cs="仿宋"/>
                <w:sz w:val="21"/>
                <w:szCs w:val="21"/>
              </w:rPr>
              <w:t xml:space="preserve">不允许    </w:t>
            </w:r>
          </w:p>
          <w:p w14:paraId="5C96F952">
            <w:pPr>
              <w:pStyle w:val="9"/>
              <w:topLinePunct/>
              <w:spacing w:line="360" w:lineRule="auto"/>
              <w:ind w:left="210" w:hanging="210" w:hangingChars="100"/>
              <w:rPr>
                <w:rFonts w:ascii="仿宋" w:hAnsi="仿宋" w:eastAsia="仿宋" w:cs="仿宋"/>
                <w:sz w:val="21"/>
                <w:szCs w:val="21"/>
              </w:rPr>
            </w:pPr>
            <w:r>
              <w:rPr>
                <w:rFonts w:hint="eastAsia" w:ascii="仿宋" w:hAnsi="仿宋" w:eastAsia="仿宋" w:cs="仿宋"/>
                <w:sz w:val="21"/>
                <w:szCs w:val="21"/>
              </w:rPr>
              <w:t>□允许，偏差范围：询价文件中带*号条款、法律法规规定的相关条款以外的内容。</w:t>
            </w:r>
          </w:p>
          <w:p w14:paraId="0CDAA07D">
            <w:pPr>
              <w:pStyle w:val="9"/>
              <w:topLinePunct/>
              <w:spacing w:line="360" w:lineRule="auto"/>
              <w:ind w:firstLine="210" w:firstLineChars="100"/>
              <w:rPr>
                <w:rFonts w:ascii="仿宋" w:hAnsi="仿宋" w:eastAsia="仿宋" w:cs="仿宋"/>
                <w:sz w:val="21"/>
                <w:szCs w:val="21"/>
              </w:rPr>
            </w:pPr>
            <w:r>
              <w:rPr>
                <w:rFonts w:hint="eastAsia" w:ascii="仿宋" w:hAnsi="仿宋" w:eastAsia="仿宋" w:cs="仿宋"/>
                <w:sz w:val="21"/>
                <w:szCs w:val="21"/>
              </w:rPr>
              <w:t>最高项数：</w:t>
            </w:r>
            <w:r>
              <w:rPr>
                <w:rFonts w:hint="eastAsia" w:ascii="仿宋" w:hAnsi="仿宋" w:eastAsia="仿宋" w:cs="仿宋"/>
                <w:sz w:val="21"/>
                <w:szCs w:val="21"/>
                <w:u w:val="single"/>
              </w:rPr>
              <w:t>不限定</w:t>
            </w:r>
          </w:p>
        </w:tc>
      </w:tr>
      <w:tr w14:paraId="5AC6D880">
        <w:tblPrEx>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vAlign w:val="center"/>
          </w:tcPr>
          <w:p w14:paraId="07DB1DF2">
            <w:pPr>
              <w:spacing w:line="360" w:lineRule="auto"/>
              <w:jc w:val="center"/>
              <w:rPr>
                <w:rFonts w:ascii="仿宋" w:hAnsi="仿宋" w:eastAsia="仿宋" w:cs="仿宋"/>
                <w:szCs w:val="21"/>
              </w:rPr>
            </w:pPr>
            <w:r>
              <w:rPr>
                <w:rFonts w:hint="eastAsia" w:ascii="仿宋" w:hAnsi="仿宋" w:eastAsia="仿宋" w:cs="仿宋"/>
                <w:szCs w:val="21"/>
              </w:rPr>
              <w:t>2.3.1</w:t>
            </w:r>
          </w:p>
        </w:tc>
        <w:tc>
          <w:tcPr>
            <w:tcW w:w="2458" w:type="dxa"/>
            <w:tcBorders>
              <w:top w:val="single" w:color="auto" w:sz="4" w:space="0"/>
              <w:left w:val="single" w:color="auto" w:sz="4" w:space="0"/>
              <w:bottom w:val="single" w:color="auto" w:sz="4" w:space="0"/>
              <w:right w:val="single" w:color="auto" w:sz="4" w:space="0"/>
            </w:tcBorders>
            <w:vAlign w:val="center"/>
          </w:tcPr>
          <w:p w14:paraId="23C0AC41">
            <w:pPr>
              <w:spacing w:line="360" w:lineRule="auto"/>
              <w:jc w:val="center"/>
              <w:rPr>
                <w:rFonts w:ascii="仿宋" w:hAnsi="仿宋" w:eastAsia="仿宋" w:cs="仿宋"/>
                <w:szCs w:val="21"/>
              </w:rPr>
            </w:pPr>
            <w:r>
              <w:rPr>
                <w:rFonts w:hint="eastAsia" w:ascii="仿宋" w:hAnsi="仿宋" w:eastAsia="仿宋" w:cs="仿宋"/>
                <w:szCs w:val="21"/>
              </w:rPr>
              <w:t>供应商要求澄清采购文件的截止时间</w:t>
            </w:r>
          </w:p>
        </w:tc>
        <w:tc>
          <w:tcPr>
            <w:tcW w:w="6495" w:type="dxa"/>
            <w:tcBorders>
              <w:top w:val="single" w:color="auto" w:sz="4" w:space="0"/>
              <w:left w:val="single" w:color="auto" w:sz="4" w:space="0"/>
              <w:bottom w:val="single" w:color="auto" w:sz="4" w:space="0"/>
              <w:right w:val="single" w:color="auto" w:sz="4" w:space="0"/>
            </w:tcBorders>
            <w:vAlign w:val="center"/>
          </w:tcPr>
          <w:p w14:paraId="0A03B901">
            <w:pPr>
              <w:spacing w:line="360" w:lineRule="auto"/>
              <w:rPr>
                <w:rFonts w:ascii="仿宋" w:hAnsi="仿宋" w:eastAsia="仿宋" w:cs="仿宋"/>
                <w:szCs w:val="21"/>
              </w:rPr>
            </w:pPr>
            <w:r>
              <w:rPr>
                <w:rFonts w:hint="eastAsia" w:ascii="仿宋" w:hAnsi="仿宋" w:eastAsia="仿宋" w:cs="仿宋"/>
                <w:szCs w:val="21"/>
              </w:rPr>
              <w:t>响应文件递交截止时间</w:t>
            </w:r>
            <w:r>
              <w:rPr>
                <w:rFonts w:hint="eastAsia" w:ascii="仿宋" w:hAnsi="仿宋" w:eastAsia="仿宋" w:cs="仿宋"/>
                <w:szCs w:val="21"/>
                <w:u w:val="single"/>
              </w:rPr>
              <w:t>1</w:t>
            </w:r>
            <w:r>
              <w:rPr>
                <w:rFonts w:hint="eastAsia" w:ascii="仿宋" w:hAnsi="仿宋" w:eastAsia="仿宋" w:cs="仿宋"/>
                <w:szCs w:val="21"/>
              </w:rPr>
              <w:t>日前</w:t>
            </w:r>
          </w:p>
        </w:tc>
      </w:tr>
      <w:tr w14:paraId="6698B063">
        <w:tblPrEx>
          <w:tblCellMar>
            <w:top w:w="0" w:type="dxa"/>
            <w:left w:w="108" w:type="dxa"/>
            <w:bottom w:w="0" w:type="dxa"/>
            <w:right w:w="108" w:type="dxa"/>
          </w:tblCellMar>
        </w:tblPrEx>
        <w:trPr>
          <w:trHeight w:val="991" w:hRule="atLeast"/>
        </w:trPr>
        <w:tc>
          <w:tcPr>
            <w:tcW w:w="1056" w:type="dxa"/>
            <w:tcBorders>
              <w:top w:val="single" w:color="auto" w:sz="4" w:space="0"/>
              <w:left w:val="single" w:color="auto" w:sz="4" w:space="0"/>
              <w:bottom w:val="single" w:color="auto" w:sz="4" w:space="0"/>
              <w:right w:val="single" w:color="auto" w:sz="4" w:space="0"/>
            </w:tcBorders>
            <w:vAlign w:val="center"/>
          </w:tcPr>
          <w:p w14:paraId="4AB4A3A9">
            <w:pPr>
              <w:spacing w:line="360" w:lineRule="auto"/>
              <w:jc w:val="center"/>
              <w:rPr>
                <w:rFonts w:ascii="仿宋" w:hAnsi="仿宋" w:eastAsia="仿宋" w:cs="仿宋"/>
                <w:szCs w:val="21"/>
              </w:rPr>
            </w:pPr>
            <w:r>
              <w:rPr>
                <w:rFonts w:hint="eastAsia" w:ascii="仿宋" w:hAnsi="仿宋" w:eastAsia="仿宋" w:cs="仿宋"/>
                <w:szCs w:val="21"/>
              </w:rPr>
              <w:t>2.3.2</w:t>
            </w:r>
          </w:p>
        </w:tc>
        <w:tc>
          <w:tcPr>
            <w:tcW w:w="2458" w:type="dxa"/>
            <w:tcBorders>
              <w:top w:val="single" w:color="auto" w:sz="4" w:space="0"/>
              <w:left w:val="single" w:color="auto" w:sz="4" w:space="0"/>
              <w:bottom w:val="single" w:color="auto" w:sz="4" w:space="0"/>
              <w:right w:val="single" w:color="auto" w:sz="4" w:space="0"/>
            </w:tcBorders>
            <w:vAlign w:val="center"/>
          </w:tcPr>
          <w:p w14:paraId="65A970E5">
            <w:pPr>
              <w:spacing w:line="360" w:lineRule="auto"/>
              <w:jc w:val="center"/>
              <w:rPr>
                <w:rFonts w:ascii="仿宋" w:hAnsi="仿宋" w:eastAsia="仿宋" w:cs="仿宋"/>
                <w:szCs w:val="21"/>
              </w:rPr>
            </w:pPr>
            <w:r>
              <w:rPr>
                <w:rFonts w:hint="eastAsia" w:ascii="仿宋" w:hAnsi="仿宋" w:eastAsia="仿宋" w:cs="仿宋"/>
                <w:szCs w:val="21"/>
              </w:rPr>
              <w:t>供应商确认收到采购文件澄清的时间</w:t>
            </w:r>
          </w:p>
        </w:tc>
        <w:tc>
          <w:tcPr>
            <w:tcW w:w="6495" w:type="dxa"/>
            <w:tcBorders>
              <w:top w:val="single" w:color="auto" w:sz="4" w:space="0"/>
              <w:left w:val="single" w:color="auto" w:sz="4" w:space="0"/>
              <w:bottom w:val="single" w:color="auto" w:sz="4" w:space="0"/>
              <w:right w:val="single" w:color="auto" w:sz="4" w:space="0"/>
            </w:tcBorders>
            <w:vAlign w:val="center"/>
          </w:tcPr>
          <w:p w14:paraId="42514F75">
            <w:pPr>
              <w:spacing w:line="360" w:lineRule="auto"/>
              <w:rPr>
                <w:rFonts w:ascii="仿宋" w:hAnsi="仿宋" w:eastAsia="仿宋" w:cs="仿宋"/>
                <w:szCs w:val="21"/>
              </w:rPr>
            </w:pPr>
            <w:r>
              <w:rPr>
                <w:rFonts w:hint="eastAsia" w:ascii="仿宋" w:hAnsi="仿宋" w:eastAsia="仿宋" w:cs="仿宋"/>
                <w:szCs w:val="21"/>
              </w:rPr>
              <w:t>澄清发出后</w:t>
            </w:r>
            <w:r>
              <w:rPr>
                <w:rFonts w:hint="eastAsia" w:ascii="仿宋" w:hAnsi="仿宋" w:eastAsia="仿宋" w:cs="仿宋"/>
                <w:szCs w:val="21"/>
                <w:u w:val="single"/>
              </w:rPr>
              <w:t>24</w:t>
            </w:r>
            <w:r>
              <w:rPr>
                <w:rFonts w:hint="eastAsia" w:ascii="仿宋" w:hAnsi="仿宋" w:eastAsia="仿宋" w:cs="仿宋"/>
                <w:szCs w:val="21"/>
              </w:rPr>
              <w:t>小时内将回执传回至采购人进行确认</w:t>
            </w:r>
          </w:p>
        </w:tc>
      </w:tr>
      <w:tr w14:paraId="776F1CB7">
        <w:tblPrEx>
          <w:tblCellMar>
            <w:top w:w="0" w:type="dxa"/>
            <w:left w:w="108" w:type="dxa"/>
            <w:bottom w:w="0" w:type="dxa"/>
            <w:right w:w="108" w:type="dxa"/>
          </w:tblCellMar>
        </w:tblPrEx>
        <w:trPr>
          <w:trHeight w:val="835" w:hRule="atLeast"/>
        </w:trPr>
        <w:tc>
          <w:tcPr>
            <w:tcW w:w="1056" w:type="dxa"/>
            <w:tcBorders>
              <w:top w:val="single" w:color="auto" w:sz="4" w:space="0"/>
              <w:left w:val="single" w:color="auto" w:sz="4" w:space="0"/>
              <w:bottom w:val="single" w:color="auto" w:sz="4" w:space="0"/>
              <w:right w:val="single" w:color="auto" w:sz="4" w:space="0"/>
            </w:tcBorders>
            <w:vAlign w:val="center"/>
          </w:tcPr>
          <w:p w14:paraId="7F8906EE">
            <w:pPr>
              <w:spacing w:line="360" w:lineRule="auto"/>
              <w:jc w:val="center"/>
              <w:rPr>
                <w:rFonts w:ascii="仿宋" w:hAnsi="仿宋" w:eastAsia="仿宋" w:cs="仿宋"/>
                <w:szCs w:val="21"/>
              </w:rPr>
            </w:pPr>
            <w:r>
              <w:rPr>
                <w:rFonts w:hint="eastAsia" w:ascii="仿宋" w:hAnsi="仿宋" w:eastAsia="仿宋" w:cs="仿宋"/>
                <w:szCs w:val="21"/>
              </w:rPr>
              <w:t>3.4.1</w:t>
            </w:r>
          </w:p>
        </w:tc>
        <w:tc>
          <w:tcPr>
            <w:tcW w:w="2458" w:type="dxa"/>
            <w:tcBorders>
              <w:top w:val="single" w:color="auto" w:sz="4" w:space="0"/>
              <w:left w:val="single" w:color="auto" w:sz="4" w:space="0"/>
              <w:bottom w:val="single" w:color="auto" w:sz="4" w:space="0"/>
              <w:right w:val="single" w:color="auto" w:sz="4" w:space="0"/>
            </w:tcBorders>
            <w:vAlign w:val="center"/>
          </w:tcPr>
          <w:p w14:paraId="0DA835D0">
            <w:pPr>
              <w:spacing w:line="360" w:lineRule="auto"/>
              <w:jc w:val="center"/>
              <w:rPr>
                <w:rFonts w:ascii="仿宋" w:hAnsi="仿宋" w:eastAsia="仿宋" w:cs="仿宋"/>
                <w:szCs w:val="21"/>
              </w:rPr>
            </w:pPr>
            <w:r>
              <w:rPr>
                <w:rFonts w:hint="eastAsia" w:ascii="仿宋" w:hAnsi="仿宋" w:eastAsia="仿宋" w:cs="仿宋"/>
                <w:szCs w:val="21"/>
              </w:rPr>
              <w:t>保证金</w:t>
            </w:r>
          </w:p>
        </w:tc>
        <w:tc>
          <w:tcPr>
            <w:tcW w:w="6495" w:type="dxa"/>
            <w:tcBorders>
              <w:top w:val="single" w:color="auto" w:sz="4" w:space="0"/>
              <w:left w:val="single" w:color="auto" w:sz="4" w:space="0"/>
              <w:bottom w:val="single" w:color="auto" w:sz="4" w:space="0"/>
              <w:right w:val="single" w:color="auto" w:sz="4" w:space="0"/>
            </w:tcBorders>
            <w:vAlign w:val="center"/>
          </w:tcPr>
          <w:p w14:paraId="69D1B239">
            <w:pPr>
              <w:pStyle w:val="9"/>
              <w:topLinePunct/>
              <w:spacing w:line="360" w:lineRule="auto"/>
              <w:rPr>
                <w:rFonts w:ascii="仿宋" w:hAnsi="仿宋" w:eastAsia="仿宋" w:cs="仿宋"/>
                <w:sz w:val="21"/>
                <w:szCs w:val="21"/>
              </w:rPr>
            </w:pPr>
            <w:r>
              <w:rPr>
                <w:rFonts w:hint="eastAsia" w:ascii="仿宋" w:hAnsi="仿宋" w:eastAsia="仿宋" w:cs="仿宋"/>
                <w:sz w:val="21"/>
                <w:szCs w:val="21"/>
              </w:rPr>
              <w:sym w:font="Wingdings 2" w:char="0052"/>
            </w:r>
            <w:r>
              <w:rPr>
                <w:rFonts w:hint="eastAsia" w:ascii="仿宋" w:hAnsi="仿宋" w:eastAsia="仿宋" w:cs="仿宋"/>
                <w:sz w:val="21"/>
                <w:szCs w:val="21"/>
              </w:rPr>
              <w:t>不要求递交保证金</w:t>
            </w:r>
          </w:p>
          <w:p w14:paraId="4D79FAC4">
            <w:pPr>
              <w:widowControl/>
              <w:jc w:val="left"/>
              <w:rPr>
                <w:rFonts w:ascii="仿宋" w:hAnsi="仿宋" w:eastAsia="仿宋" w:cs="仿宋"/>
                <w:szCs w:val="21"/>
              </w:rPr>
            </w:pPr>
            <w:r>
              <w:rPr>
                <w:rFonts w:hint="eastAsia" w:ascii="仿宋" w:hAnsi="仿宋" w:eastAsia="仿宋" w:cs="仿宋"/>
                <w:szCs w:val="21"/>
              </w:rPr>
              <w:sym w:font="Wingdings 2" w:char="00A3"/>
            </w:r>
            <w:r>
              <w:rPr>
                <w:rFonts w:hint="eastAsia" w:ascii="仿宋" w:hAnsi="仿宋" w:eastAsia="仿宋" w:cs="仿宋"/>
                <w:szCs w:val="21"/>
              </w:rPr>
              <w:t>要求递交保证金，</w:t>
            </w:r>
            <w:r>
              <w:rPr>
                <w:rFonts w:hint="eastAsia" w:ascii="仿宋" w:hAnsi="仿宋" w:eastAsia="仿宋" w:cs="仿宋"/>
                <w:szCs w:val="21"/>
                <w:u w:val="single"/>
              </w:rPr>
              <w:t xml:space="preserve">    500   元 </w:t>
            </w:r>
            <w:r>
              <w:rPr>
                <w:rFonts w:hint="eastAsia" w:ascii="仿宋" w:hAnsi="仿宋" w:eastAsia="仿宋" w:cs="仿宋"/>
                <w:szCs w:val="21"/>
              </w:rPr>
              <w:t xml:space="preserve"> （平台后期退还）</w:t>
            </w:r>
          </w:p>
        </w:tc>
      </w:tr>
      <w:tr w14:paraId="5C13A4FB">
        <w:tblPrEx>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vAlign w:val="center"/>
          </w:tcPr>
          <w:p w14:paraId="65C6AE79">
            <w:pPr>
              <w:spacing w:line="360" w:lineRule="auto"/>
              <w:jc w:val="center"/>
              <w:rPr>
                <w:rFonts w:ascii="仿宋" w:hAnsi="仿宋" w:eastAsia="仿宋" w:cs="仿宋"/>
                <w:szCs w:val="21"/>
              </w:rPr>
            </w:pPr>
            <w:r>
              <w:rPr>
                <w:rFonts w:hint="eastAsia" w:ascii="仿宋" w:hAnsi="仿宋" w:eastAsia="仿宋" w:cs="仿宋"/>
                <w:szCs w:val="21"/>
              </w:rPr>
              <w:t>3.5.3</w:t>
            </w:r>
          </w:p>
        </w:tc>
        <w:tc>
          <w:tcPr>
            <w:tcW w:w="2458" w:type="dxa"/>
            <w:tcBorders>
              <w:top w:val="single" w:color="auto" w:sz="4" w:space="0"/>
              <w:left w:val="single" w:color="auto" w:sz="4" w:space="0"/>
              <w:bottom w:val="single" w:color="auto" w:sz="4" w:space="0"/>
              <w:right w:val="single" w:color="auto" w:sz="4" w:space="0"/>
            </w:tcBorders>
            <w:vAlign w:val="center"/>
          </w:tcPr>
          <w:p w14:paraId="1E24C054">
            <w:pPr>
              <w:spacing w:line="360" w:lineRule="auto"/>
              <w:jc w:val="center"/>
              <w:rPr>
                <w:rFonts w:ascii="仿宋" w:hAnsi="仿宋" w:eastAsia="仿宋" w:cs="仿宋"/>
                <w:szCs w:val="21"/>
              </w:rPr>
            </w:pPr>
            <w:r>
              <w:rPr>
                <w:rFonts w:hint="eastAsia" w:ascii="仿宋" w:hAnsi="仿宋" w:eastAsia="仿宋" w:cs="仿宋"/>
                <w:szCs w:val="21"/>
              </w:rPr>
              <w:t>签字或盖章要求</w:t>
            </w:r>
          </w:p>
        </w:tc>
        <w:tc>
          <w:tcPr>
            <w:tcW w:w="6495" w:type="dxa"/>
            <w:tcBorders>
              <w:top w:val="single" w:color="auto" w:sz="4" w:space="0"/>
              <w:left w:val="single" w:color="auto" w:sz="4" w:space="0"/>
              <w:bottom w:val="single" w:color="auto" w:sz="4" w:space="0"/>
              <w:right w:val="single" w:color="auto" w:sz="4" w:space="0"/>
            </w:tcBorders>
            <w:vAlign w:val="center"/>
          </w:tcPr>
          <w:p w14:paraId="3F3701C7">
            <w:pPr>
              <w:numPr>
                <w:ilvl w:val="0"/>
                <w:numId w:val="2"/>
              </w:numPr>
              <w:spacing w:line="360" w:lineRule="auto"/>
              <w:rPr>
                <w:rFonts w:ascii="仿宋" w:hAnsi="仿宋" w:eastAsia="仿宋" w:cs="仿宋"/>
                <w:szCs w:val="21"/>
              </w:rPr>
            </w:pPr>
            <w:r>
              <w:rPr>
                <w:rFonts w:hint="eastAsia" w:ascii="仿宋" w:hAnsi="仿宋" w:eastAsia="仿宋" w:cs="仿宋"/>
                <w:szCs w:val="21"/>
              </w:rPr>
              <w:t>询价采购文件中要求加盖单位公章的，需使用供应商单位公章；供应商应按询价采购文件格式要求，在响应文件的相应位置进行加盖公章、单位负责人或其授权代表的签字（或签章）。</w:t>
            </w:r>
          </w:p>
          <w:p w14:paraId="2F4A2725">
            <w:pPr>
              <w:numPr>
                <w:ilvl w:val="0"/>
                <w:numId w:val="2"/>
              </w:numPr>
              <w:spacing w:line="360" w:lineRule="auto"/>
              <w:rPr>
                <w:rFonts w:ascii="仿宋" w:hAnsi="仿宋" w:eastAsia="仿宋" w:cs="仿宋"/>
                <w:szCs w:val="21"/>
              </w:rPr>
            </w:pPr>
            <w:r>
              <w:rPr>
                <w:rFonts w:hint="eastAsia" w:ascii="仿宋" w:hAnsi="仿宋" w:eastAsia="仿宋" w:cs="仿宋"/>
                <w:szCs w:val="21"/>
              </w:rPr>
              <w:t>响应文件不得涂改和增删，如有修改，必须由同一签署人签字或盖章，否则可能导致被否决。</w:t>
            </w:r>
          </w:p>
        </w:tc>
      </w:tr>
      <w:tr w14:paraId="1F04A762">
        <w:tblPrEx>
          <w:tblCellMar>
            <w:top w:w="0" w:type="dxa"/>
            <w:left w:w="108" w:type="dxa"/>
            <w:bottom w:w="0" w:type="dxa"/>
            <w:right w:w="108" w:type="dxa"/>
          </w:tblCellMar>
        </w:tblPrEx>
        <w:trPr>
          <w:trHeight w:val="794" w:hRule="atLeast"/>
        </w:trPr>
        <w:tc>
          <w:tcPr>
            <w:tcW w:w="1056" w:type="dxa"/>
            <w:tcBorders>
              <w:top w:val="single" w:color="auto" w:sz="4" w:space="0"/>
              <w:left w:val="single" w:color="auto" w:sz="4" w:space="0"/>
              <w:bottom w:val="single" w:color="auto" w:sz="4" w:space="0"/>
              <w:right w:val="single" w:color="auto" w:sz="4" w:space="0"/>
            </w:tcBorders>
            <w:vAlign w:val="center"/>
          </w:tcPr>
          <w:p w14:paraId="7EF907FB">
            <w:pPr>
              <w:spacing w:line="360" w:lineRule="auto"/>
              <w:jc w:val="center"/>
              <w:rPr>
                <w:rFonts w:ascii="仿宋" w:hAnsi="仿宋" w:eastAsia="仿宋" w:cs="仿宋"/>
                <w:szCs w:val="21"/>
              </w:rPr>
            </w:pPr>
            <w:r>
              <w:rPr>
                <w:rFonts w:hint="eastAsia" w:ascii="仿宋" w:hAnsi="仿宋" w:eastAsia="仿宋" w:cs="仿宋"/>
                <w:szCs w:val="21"/>
              </w:rPr>
              <w:t>3.5.5</w:t>
            </w:r>
          </w:p>
        </w:tc>
        <w:tc>
          <w:tcPr>
            <w:tcW w:w="2458" w:type="dxa"/>
            <w:tcBorders>
              <w:top w:val="single" w:color="auto" w:sz="4" w:space="0"/>
              <w:left w:val="single" w:color="auto" w:sz="4" w:space="0"/>
              <w:bottom w:val="single" w:color="auto" w:sz="4" w:space="0"/>
              <w:right w:val="single" w:color="auto" w:sz="4" w:space="0"/>
            </w:tcBorders>
            <w:vAlign w:val="center"/>
          </w:tcPr>
          <w:p w14:paraId="1684B086">
            <w:pPr>
              <w:spacing w:line="360" w:lineRule="auto"/>
              <w:jc w:val="center"/>
              <w:rPr>
                <w:rFonts w:ascii="仿宋" w:hAnsi="仿宋" w:eastAsia="仿宋" w:cs="仿宋"/>
                <w:szCs w:val="21"/>
              </w:rPr>
            </w:pPr>
            <w:r>
              <w:rPr>
                <w:rFonts w:hint="eastAsia" w:ascii="仿宋" w:hAnsi="仿宋" w:eastAsia="仿宋" w:cs="仿宋"/>
                <w:szCs w:val="21"/>
              </w:rPr>
              <w:t>响应文件副本份数</w:t>
            </w:r>
          </w:p>
        </w:tc>
        <w:tc>
          <w:tcPr>
            <w:tcW w:w="6495" w:type="dxa"/>
            <w:tcBorders>
              <w:top w:val="single" w:color="auto" w:sz="4" w:space="0"/>
              <w:left w:val="single" w:color="auto" w:sz="4" w:space="0"/>
              <w:bottom w:val="single" w:color="auto" w:sz="4" w:space="0"/>
              <w:right w:val="single" w:color="auto" w:sz="4" w:space="0"/>
            </w:tcBorders>
            <w:vAlign w:val="center"/>
          </w:tcPr>
          <w:p w14:paraId="66A8A8FF">
            <w:pPr>
              <w:spacing w:line="360" w:lineRule="auto"/>
              <w:rPr>
                <w:rFonts w:ascii="仿宋" w:hAnsi="仿宋" w:eastAsia="仿宋" w:cs="仿宋"/>
                <w:szCs w:val="21"/>
              </w:rPr>
            </w:pPr>
            <w:r>
              <w:rPr>
                <w:rFonts w:hint="eastAsia" w:ascii="仿宋" w:hAnsi="仿宋" w:eastAsia="仿宋" w:cs="仿宋"/>
                <w:szCs w:val="21"/>
                <w:u w:val="single"/>
              </w:rPr>
              <w:t>一正一副</w:t>
            </w:r>
            <w:r>
              <w:rPr>
                <w:rFonts w:hint="eastAsia" w:ascii="仿宋" w:hAnsi="仿宋" w:eastAsia="仿宋" w:cs="仿宋"/>
                <w:szCs w:val="21"/>
              </w:rPr>
              <w:t>（不适用线上递交响应文件）</w:t>
            </w:r>
          </w:p>
        </w:tc>
      </w:tr>
      <w:tr w14:paraId="1028CB40">
        <w:tblPrEx>
          <w:tblCellMar>
            <w:top w:w="0" w:type="dxa"/>
            <w:left w:w="108" w:type="dxa"/>
            <w:bottom w:w="0" w:type="dxa"/>
            <w:right w:w="108" w:type="dxa"/>
          </w:tblCellMar>
        </w:tblPrEx>
        <w:trPr>
          <w:trHeight w:val="1230" w:hRule="exact"/>
        </w:trPr>
        <w:tc>
          <w:tcPr>
            <w:tcW w:w="1056" w:type="dxa"/>
            <w:tcBorders>
              <w:top w:val="single" w:color="auto" w:sz="4" w:space="0"/>
              <w:left w:val="single" w:color="auto" w:sz="4" w:space="0"/>
              <w:right w:val="single" w:color="auto" w:sz="4" w:space="0"/>
            </w:tcBorders>
            <w:vAlign w:val="center"/>
          </w:tcPr>
          <w:p w14:paraId="6438B6C2">
            <w:pPr>
              <w:spacing w:line="360" w:lineRule="auto"/>
              <w:jc w:val="center"/>
              <w:rPr>
                <w:rFonts w:ascii="仿宋" w:hAnsi="仿宋" w:eastAsia="仿宋" w:cs="仿宋"/>
                <w:szCs w:val="21"/>
              </w:rPr>
            </w:pPr>
            <w:r>
              <w:rPr>
                <w:rFonts w:hint="eastAsia" w:ascii="仿宋" w:hAnsi="仿宋" w:eastAsia="仿宋" w:cs="仿宋"/>
                <w:szCs w:val="21"/>
              </w:rPr>
              <w:t>5.2</w:t>
            </w:r>
          </w:p>
        </w:tc>
        <w:tc>
          <w:tcPr>
            <w:tcW w:w="2458" w:type="dxa"/>
            <w:tcBorders>
              <w:top w:val="single" w:color="auto" w:sz="4" w:space="0"/>
              <w:left w:val="single" w:color="auto" w:sz="4" w:space="0"/>
              <w:right w:val="single" w:color="auto" w:sz="4" w:space="0"/>
            </w:tcBorders>
            <w:vAlign w:val="center"/>
          </w:tcPr>
          <w:p w14:paraId="4F281749">
            <w:pPr>
              <w:spacing w:line="360" w:lineRule="auto"/>
              <w:jc w:val="center"/>
              <w:rPr>
                <w:rFonts w:ascii="仿宋" w:hAnsi="仿宋" w:eastAsia="仿宋" w:cs="仿宋"/>
                <w:szCs w:val="21"/>
              </w:rPr>
            </w:pPr>
            <w:r>
              <w:rPr>
                <w:rFonts w:hint="eastAsia" w:ascii="仿宋" w:hAnsi="仿宋" w:eastAsia="仿宋" w:cs="仿宋"/>
                <w:szCs w:val="21"/>
              </w:rPr>
              <w:t>评审办法</w:t>
            </w:r>
          </w:p>
        </w:tc>
        <w:tc>
          <w:tcPr>
            <w:tcW w:w="6495" w:type="dxa"/>
            <w:tcBorders>
              <w:top w:val="single" w:color="auto" w:sz="4" w:space="0"/>
              <w:left w:val="single" w:color="auto" w:sz="4" w:space="0"/>
              <w:right w:val="single" w:color="auto" w:sz="4" w:space="0"/>
            </w:tcBorders>
            <w:vAlign w:val="center"/>
          </w:tcPr>
          <w:p w14:paraId="03E07A52">
            <w:pPr>
              <w:spacing w:line="560" w:lineRule="exact"/>
              <w:rPr>
                <w:rFonts w:ascii="仿宋" w:hAnsi="仿宋" w:eastAsia="仿宋" w:cs="仿宋"/>
                <w:szCs w:val="21"/>
              </w:rPr>
            </w:pPr>
            <w:r>
              <w:rPr>
                <w:rFonts w:hint="eastAsia" w:ascii="仿宋" w:hAnsi="仿宋" w:eastAsia="仿宋" w:cs="仿宋"/>
                <w:szCs w:val="21"/>
              </w:rPr>
              <w:sym w:font="Wingdings 2" w:char="0052"/>
            </w:r>
            <w:r>
              <w:rPr>
                <w:rFonts w:hint="eastAsia" w:ascii="仿宋" w:hAnsi="仿宋" w:eastAsia="仿宋" w:cs="仿宋"/>
                <w:szCs w:val="21"/>
              </w:rPr>
              <w:t>采用综合评审法，详见第三章“评审办法”</w:t>
            </w:r>
          </w:p>
          <w:p w14:paraId="0EFE80D0">
            <w:pPr>
              <w:spacing w:line="560" w:lineRule="exact"/>
              <w:rPr>
                <w:rFonts w:ascii="仿宋" w:hAnsi="仿宋" w:eastAsia="仿宋" w:cs="仿宋"/>
                <w:szCs w:val="21"/>
              </w:rPr>
            </w:pPr>
            <w:r>
              <w:rPr>
                <w:rFonts w:hint="eastAsia" w:ascii="仿宋" w:hAnsi="仿宋" w:eastAsia="仿宋" w:cs="仿宋"/>
                <w:szCs w:val="21"/>
              </w:rPr>
              <w:t>□采用最低价中选排序法</w:t>
            </w:r>
          </w:p>
        </w:tc>
      </w:tr>
      <w:tr w14:paraId="53A651D8">
        <w:tblPrEx>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vAlign w:val="center"/>
          </w:tcPr>
          <w:p w14:paraId="755D7FAD">
            <w:pPr>
              <w:spacing w:line="360" w:lineRule="auto"/>
              <w:jc w:val="center"/>
              <w:rPr>
                <w:rFonts w:ascii="仿宋" w:hAnsi="仿宋" w:eastAsia="仿宋" w:cs="仿宋"/>
                <w:szCs w:val="21"/>
              </w:rPr>
            </w:pPr>
            <w:r>
              <w:rPr>
                <w:rFonts w:hint="eastAsia" w:ascii="仿宋" w:hAnsi="仿宋" w:eastAsia="仿宋" w:cs="仿宋"/>
                <w:szCs w:val="21"/>
              </w:rPr>
              <w:t>5.3</w:t>
            </w:r>
          </w:p>
        </w:tc>
        <w:tc>
          <w:tcPr>
            <w:tcW w:w="2458" w:type="dxa"/>
            <w:tcBorders>
              <w:top w:val="single" w:color="auto" w:sz="4" w:space="0"/>
              <w:left w:val="single" w:color="auto" w:sz="4" w:space="0"/>
              <w:right w:val="single" w:color="auto" w:sz="4" w:space="0"/>
            </w:tcBorders>
            <w:vAlign w:val="center"/>
          </w:tcPr>
          <w:p w14:paraId="78B4D8FA">
            <w:pPr>
              <w:spacing w:line="360" w:lineRule="auto"/>
              <w:jc w:val="center"/>
              <w:rPr>
                <w:rFonts w:ascii="仿宋" w:hAnsi="仿宋" w:eastAsia="仿宋" w:cs="仿宋"/>
                <w:szCs w:val="21"/>
              </w:rPr>
            </w:pPr>
            <w:r>
              <w:rPr>
                <w:rFonts w:hint="eastAsia" w:ascii="仿宋" w:hAnsi="仿宋" w:eastAsia="仿宋" w:cs="仿宋"/>
                <w:szCs w:val="21"/>
              </w:rPr>
              <w:t>是否授权评审小组确定成交供应商</w:t>
            </w:r>
          </w:p>
        </w:tc>
        <w:tc>
          <w:tcPr>
            <w:tcW w:w="6495" w:type="dxa"/>
            <w:tcBorders>
              <w:top w:val="single" w:color="auto" w:sz="4" w:space="0"/>
              <w:left w:val="single" w:color="auto" w:sz="4" w:space="0"/>
              <w:right w:val="single" w:color="auto" w:sz="4" w:space="0"/>
            </w:tcBorders>
            <w:vAlign w:val="center"/>
          </w:tcPr>
          <w:p w14:paraId="48475841">
            <w:pPr>
              <w:spacing w:line="360" w:lineRule="auto"/>
              <w:rPr>
                <w:rFonts w:ascii="仿宋" w:hAnsi="仿宋" w:eastAsia="仿宋" w:cs="仿宋"/>
                <w:szCs w:val="21"/>
              </w:rPr>
            </w:pPr>
            <w:r>
              <w:rPr>
                <w:rFonts w:hint="eastAsia" w:ascii="仿宋" w:hAnsi="仿宋" w:eastAsia="仿宋" w:cs="仿宋"/>
                <w:szCs w:val="21"/>
              </w:rPr>
              <w:sym w:font="Wingdings 2" w:char="00A3"/>
            </w:r>
            <w:r>
              <w:rPr>
                <w:rFonts w:hint="eastAsia" w:ascii="仿宋" w:hAnsi="仿宋" w:eastAsia="仿宋" w:cs="仿宋"/>
                <w:szCs w:val="21"/>
              </w:rPr>
              <w:t>是</w:t>
            </w:r>
          </w:p>
          <w:p w14:paraId="5F444A73">
            <w:pPr>
              <w:spacing w:line="360" w:lineRule="auto"/>
              <w:rPr>
                <w:rFonts w:ascii="仿宋" w:hAnsi="仿宋" w:eastAsia="仿宋" w:cs="仿宋"/>
                <w:szCs w:val="21"/>
              </w:rPr>
            </w:pPr>
            <w:r>
              <w:rPr>
                <w:rFonts w:hint="eastAsia" w:ascii="仿宋" w:hAnsi="仿宋" w:eastAsia="仿宋" w:cs="仿宋"/>
                <w:szCs w:val="21"/>
              </w:rPr>
              <w:sym w:font="Wingdings 2" w:char="0052"/>
            </w:r>
            <w:r>
              <w:rPr>
                <w:rFonts w:hint="eastAsia" w:ascii="仿宋" w:hAnsi="仿宋" w:eastAsia="仿宋" w:cs="仿宋"/>
                <w:szCs w:val="21"/>
              </w:rPr>
              <w:t>否，推荐的候选人数：</w:t>
            </w:r>
            <w:r>
              <w:rPr>
                <w:rFonts w:hint="eastAsia" w:ascii="仿宋" w:hAnsi="仿宋" w:eastAsia="仿宋" w:cs="仿宋"/>
                <w:szCs w:val="21"/>
                <w:u w:val="single"/>
              </w:rPr>
              <w:t>1-3</w:t>
            </w:r>
          </w:p>
        </w:tc>
      </w:tr>
      <w:tr w14:paraId="2929E206">
        <w:tblPrEx>
          <w:tblCellMar>
            <w:top w:w="0" w:type="dxa"/>
            <w:left w:w="108" w:type="dxa"/>
            <w:bottom w:w="0" w:type="dxa"/>
            <w:right w:w="108" w:type="dxa"/>
          </w:tblCellMar>
        </w:tblPrEx>
        <w:trPr>
          <w:trHeight w:val="1272" w:hRule="atLeast"/>
        </w:trPr>
        <w:tc>
          <w:tcPr>
            <w:tcW w:w="3514" w:type="dxa"/>
            <w:gridSpan w:val="2"/>
            <w:tcBorders>
              <w:top w:val="single" w:color="auto" w:sz="4" w:space="0"/>
              <w:left w:val="single" w:color="auto" w:sz="4" w:space="0"/>
              <w:bottom w:val="single" w:color="auto" w:sz="4" w:space="0"/>
              <w:right w:val="single" w:color="auto" w:sz="4" w:space="0"/>
            </w:tcBorders>
            <w:vAlign w:val="center"/>
          </w:tcPr>
          <w:p w14:paraId="30196CC4">
            <w:pPr>
              <w:spacing w:line="360" w:lineRule="auto"/>
              <w:jc w:val="center"/>
              <w:rPr>
                <w:rFonts w:ascii="仿宋" w:hAnsi="仿宋" w:eastAsia="仿宋" w:cs="仿宋"/>
                <w:szCs w:val="21"/>
              </w:rPr>
            </w:pPr>
            <w:r>
              <w:rPr>
                <w:rFonts w:hint="eastAsia" w:ascii="仿宋" w:hAnsi="仿宋" w:eastAsia="仿宋" w:cs="仿宋"/>
                <w:szCs w:val="21"/>
              </w:rPr>
              <w:t>询价内容</w:t>
            </w:r>
          </w:p>
        </w:tc>
        <w:tc>
          <w:tcPr>
            <w:tcW w:w="6495" w:type="dxa"/>
            <w:tcBorders>
              <w:top w:val="single" w:color="auto" w:sz="4" w:space="0"/>
              <w:left w:val="single" w:color="auto" w:sz="4" w:space="0"/>
              <w:bottom w:val="single" w:color="auto" w:sz="4" w:space="0"/>
              <w:right w:val="single" w:color="auto" w:sz="4" w:space="0"/>
            </w:tcBorders>
            <w:vAlign w:val="center"/>
          </w:tcPr>
          <w:p w14:paraId="134A2520">
            <w:pPr>
              <w:spacing w:line="360" w:lineRule="auto"/>
              <w:jc w:val="left"/>
              <w:rPr>
                <w:rFonts w:ascii="仿宋" w:hAnsi="仿宋" w:eastAsia="仿宋" w:cs="仿宋"/>
                <w:color w:val="FF0000"/>
                <w:szCs w:val="21"/>
              </w:rPr>
            </w:pPr>
            <w:r>
              <w:rPr>
                <w:rFonts w:hint="eastAsia" w:ascii="仿宋" w:hAnsi="仿宋" w:eastAsia="仿宋" w:cs="仿宋"/>
                <w:szCs w:val="21"/>
              </w:rPr>
              <w:t>详见《材料询价（报价）表》</w:t>
            </w:r>
          </w:p>
        </w:tc>
      </w:tr>
      <w:tr w14:paraId="5B2DF5DF">
        <w:tblPrEx>
          <w:tblCellMar>
            <w:top w:w="0" w:type="dxa"/>
            <w:left w:w="108" w:type="dxa"/>
            <w:bottom w:w="0" w:type="dxa"/>
            <w:right w:w="108" w:type="dxa"/>
          </w:tblCellMar>
        </w:tblPrEx>
        <w:trPr>
          <w:trHeight w:val="1089" w:hRule="atLeast"/>
        </w:trPr>
        <w:tc>
          <w:tcPr>
            <w:tcW w:w="3514" w:type="dxa"/>
            <w:gridSpan w:val="2"/>
            <w:tcBorders>
              <w:top w:val="single" w:color="auto" w:sz="4" w:space="0"/>
              <w:left w:val="single" w:color="auto" w:sz="4" w:space="0"/>
              <w:bottom w:val="single" w:color="auto" w:sz="4" w:space="0"/>
              <w:right w:val="single" w:color="auto" w:sz="4" w:space="0"/>
            </w:tcBorders>
            <w:vAlign w:val="center"/>
          </w:tcPr>
          <w:p w14:paraId="73CF3E8D">
            <w:pPr>
              <w:spacing w:line="360" w:lineRule="auto"/>
              <w:jc w:val="center"/>
              <w:rPr>
                <w:rFonts w:ascii="仿宋" w:hAnsi="仿宋" w:eastAsia="仿宋" w:cs="仿宋"/>
                <w:szCs w:val="21"/>
              </w:rPr>
            </w:pPr>
            <w:r>
              <w:rPr>
                <w:rFonts w:hint="eastAsia" w:ascii="仿宋" w:hAnsi="仿宋" w:eastAsia="仿宋" w:cs="仿宋"/>
                <w:szCs w:val="21"/>
              </w:rPr>
              <w:t>标的物订购、运输</w:t>
            </w:r>
          </w:p>
        </w:tc>
        <w:tc>
          <w:tcPr>
            <w:tcW w:w="6495" w:type="dxa"/>
            <w:tcBorders>
              <w:top w:val="single" w:color="auto" w:sz="4" w:space="0"/>
              <w:left w:val="single" w:color="auto" w:sz="4" w:space="0"/>
              <w:bottom w:val="single" w:color="auto" w:sz="4" w:space="0"/>
              <w:right w:val="single" w:color="auto" w:sz="4" w:space="0"/>
            </w:tcBorders>
            <w:vAlign w:val="center"/>
          </w:tcPr>
          <w:p w14:paraId="1FBF629B">
            <w:pPr>
              <w:pStyle w:val="33"/>
              <w:numPr>
                <w:ilvl w:val="0"/>
                <w:numId w:val="0"/>
              </w:numPr>
              <w:spacing w:before="156" w:after="156" w:line="360" w:lineRule="auto"/>
              <w:rPr>
                <w:rFonts w:ascii="仿宋" w:hAnsi="仿宋" w:eastAsia="仿宋" w:cs="仿宋"/>
                <w:sz w:val="21"/>
                <w:szCs w:val="21"/>
              </w:rPr>
            </w:pPr>
            <w:r>
              <w:rPr>
                <w:rFonts w:hint="eastAsia" w:ascii="仿宋" w:hAnsi="仿宋" w:eastAsia="仿宋" w:cs="仿宋"/>
                <w:sz w:val="21"/>
                <w:szCs w:val="21"/>
              </w:rPr>
              <w:t>详见《采购协议》第4条款：协议标的物订购、运输</w:t>
            </w:r>
          </w:p>
        </w:tc>
      </w:tr>
      <w:tr w14:paraId="3E09265E">
        <w:tblPrEx>
          <w:tblCellMar>
            <w:top w:w="0" w:type="dxa"/>
            <w:left w:w="108" w:type="dxa"/>
            <w:bottom w:w="0" w:type="dxa"/>
            <w:right w:w="108" w:type="dxa"/>
          </w:tblCellMar>
        </w:tblPrEx>
        <w:trPr>
          <w:trHeight w:val="1089" w:hRule="atLeast"/>
        </w:trPr>
        <w:tc>
          <w:tcPr>
            <w:tcW w:w="3514" w:type="dxa"/>
            <w:gridSpan w:val="2"/>
            <w:tcBorders>
              <w:top w:val="single" w:color="auto" w:sz="4" w:space="0"/>
              <w:left w:val="single" w:color="auto" w:sz="4" w:space="0"/>
              <w:bottom w:val="single" w:color="auto" w:sz="4" w:space="0"/>
              <w:right w:val="single" w:color="auto" w:sz="4" w:space="0"/>
            </w:tcBorders>
            <w:vAlign w:val="center"/>
          </w:tcPr>
          <w:p w14:paraId="66848C74">
            <w:pPr>
              <w:spacing w:line="360" w:lineRule="auto"/>
              <w:jc w:val="center"/>
              <w:rPr>
                <w:rFonts w:ascii="仿宋" w:hAnsi="仿宋" w:eastAsia="仿宋" w:cs="仿宋"/>
                <w:szCs w:val="21"/>
              </w:rPr>
            </w:pPr>
            <w:r>
              <w:rPr>
                <w:rFonts w:hint="eastAsia" w:ascii="仿宋" w:hAnsi="仿宋" w:eastAsia="仿宋" w:cs="仿宋"/>
                <w:szCs w:val="21"/>
              </w:rPr>
              <w:t>付款方式</w:t>
            </w:r>
          </w:p>
        </w:tc>
        <w:tc>
          <w:tcPr>
            <w:tcW w:w="6495" w:type="dxa"/>
            <w:tcBorders>
              <w:top w:val="single" w:color="auto" w:sz="4" w:space="0"/>
              <w:left w:val="single" w:color="auto" w:sz="4" w:space="0"/>
              <w:bottom w:val="single" w:color="auto" w:sz="4" w:space="0"/>
              <w:right w:val="single" w:color="auto" w:sz="4" w:space="0"/>
            </w:tcBorders>
            <w:vAlign w:val="center"/>
          </w:tcPr>
          <w:p w14:paraId="6FE52C39">
            <w:pPr>
              <w:pStyle w:val="33"/>
              <w:numPr>
                <w:ilvl w:val="0"/>
                <w:numId w:val="0"/>
              </w:numPr>
              <w:spacing w:before="156" w:after="156" w:line="360" w:lineRule="auto"/>
              <w:rPr>
                <w:rFonts w:ascii="仿宋" w:hAnsi="仿宋" w:eastAsia="仿宋" w:cs="仿宋"/>
                <w:color w:val="FF0000"/>
                <w:sz w:val="21"/>
                <w:szCs w:val="21"/>
              </w:rPr>
            </w:pPr>
            <w:r>
              <w:rPr>
                <w:rFonts w:hint="eastAsia" w:ascii="仿宋" w:hAnsi="仿宋" w:eastAsia="仿宋" w:cs="仿宋"/>
                <w:sz w:val="21"/>
                <w:szCs w:val="21"/>
              </w:rPr>
              <w:t>详见《采购协议》第5条款：付款方式</w:t>
            </w:r>
          </w:p>
        </w:tc>
      </w:tr>
    </w:tbl>
    <w:p w14:paraId="54B91DF0"/>
    <w:p w14:paraId="5E179A3E">
      <w:pPr>
        <w:rPr>
          <w:rFonts w:ascii="仿宋" w:hAnsi="仿宋" w:eastAsia="仿宋" w:cs="仿宋"/>
        </w:rPr>
      </w:pPr>
      <w:bookmarkStart w:id="36" w:name="_Toc152045529"/>
      <w:bookmarkStart w:id="37" w:name="_Toc152042305"/>
      <w:bookmarkStart w:id="38" w:name="_Toc246996175"/>
      <w:bookmarkStart w:id="39" w:name="_Toc246996918"/>
      <w:bookmarkStart w:id="40" w:name="_Toc247085689"/>
      <w:bookmarkStart w:id="41" w:name="_Toc144974497"/>
      <w:bookmarkStart w:id="42" w:name="_Toc179632546"/>
      <w:bookmarkStart w:id="43" w:name="_Toc40700964"/>
      <w:r>
        <w:rPr>
          <w:rFonts w:hint="eastAsia" w:ascii="仿宋" w:hAnsi="仿宋" w:eastAsia="仿宋" w:cs="仿宋"/>
          <w:sz w:val="24"/>
          <w:szCs w:val="24"/>
        </w:rPr>
        <w:br w:type="page"/>
      </w:r>
    </w:p>
    <w:p w14:paraId="56550A64">
      <w:pPr>
        <w:pStyle w:val="3"/>
        <w:spacing w:before="0" w:after="0" w:line="560" w:lineRule="exact"/>
        <w:rPr>
          <w:rFonts w:ascii="黑体" w:hAnsi="黑体" w:cs="黑体"/>
          <w:b w:val="0"/>
          <w:bCs/>
          <w:sz w:val="24"/>
          <w:szCs w:val="24"/>
        </w:rPr>
      </w:pPr>
      <w:r>
        <w:rPr>
          <w:rFonts w:hint="eastAsia" w:ascii="黑体" w:hAnsi="黑体" w:cs="黑体"/>
          <w:b w:val="0"/>
          <w:bCs/>
          <w:sz w:val="24"/>
          <w:szCs w:val="24"/>
        </w:rPr>
        <w:t>1. 总则</w:t>
      </w:r>
      <w:bookmarkEnd w:id="36"/>
      <w:bookmarkEnd w:id="37"/>
      <w:bookmarkEnd w:id="38"/>
      <w:bookmarkEnd w:id="39"/>
      <w:bookmarkEnd w:id="40"/>
      <w:bookmarkEnd w:id="41"/>
      <w:bookmarkEnd w:id="42"/>
      <w:bookmarkEnd w:id="43"/>
    </w:p>
    <w:p w14:paraId="35E44079">
      <w:pPr>
        <w:pStyle w:val="3"/>
        <w:spacing w:before="0" w:after="0" w:line="560" w:lineRule="exact"/>
        <w:ind w:firstLine="482" w:firstLineChars="200"/>
        <w:rPr>
          <w:rFonts w:ascii="仿宋" w:hAnsi="仿宋" w:eastAsia="仿宋" w:cs="仿宋"/>
          <w:sz w:val="24"/>
          <w:szCs w:val="24"/>
        </w:rPr>
      </w:pPr>
      <w:bookmarkStart w:id="44" w:name="_Toc152042306"/>
      <w:bookmarkStart w:id="45" w:name="_Toc247085690"/>
      <w:bookmarkStart w:id="46" w:name="_Toc152045530"/>
      <w:bookmarkStart w:id="47" w:name="_Toc179632547"/>
      <w:bookmarkStart w:id="48" w:name="_Toc40700965"/>
      <w:bookmarkStart w:id="49" w:name="_Toc246996919"/>
      <w:bookmarkStart w:id="50" w:name="_Toc144974498"/>
      <w:bookmarkStart w:id="51" w:name="_Toc246996176"/>
      <w:r>
        <w:rPr>
          <w:rFonts w:hint="eastAsia" w:ascii="仿宋" w:hAnsi="仿宋" w:eastAsia="仿宋" w:cs="仿宋"/>
          <w:sz w:val="24"/>
          <w:szCs w:val="24"/>
        </w:rPr>
        <w:t>1.1 项目概况</w:t>
      </w:r>
      <w:bookmarkEnd w:id="44"/>
      <w:bookmarkEnd w:id="45"/>
      <w:bookmarkEnd w:id="46"/>
      <w:bookmarkEnd w:id="47"/>
      <w:bookmarkEnd w:id="48"/>
      <w:bookmarkEnd w:id="49"/>
      <w:bookmarkEnd w:id="50"/>
      <w:bookmarkEnd w:id="51"/>
    </w:p>
    <w:p w14:paraId="3B44FA0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1.1.1根据《中华人民共和国招标投标法》等有关法律、法规和规章的规定，本项目已具备采购条件，现对本项目服务进行采购。</w:t>
      </w:r>
    </w:p>
    <w:p w14:paraId="2434975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1.1.2 本项目采购人：</w:t>
      </w:r>
      <w:r>
        <w:rPr>
          <w:rFonts w:hint="eastAsia" w:ascii="仿宋" w:hAnsi="仿宋" w:eastAsia="仿宋" w:cs="仿宋"/>
          <w:color w:val="000000"/>
          <w:sz w:val="24"/>
          <w:szCs w:val="24"/>
        </w:rPr>
        <w:t>见询价采购公告</w:t>
      </w:r>
      <w:r>
        <w:rPr>
          <w:rFonts w:hint="eastAsia" w:ascii="仿宋" w:hAnsi="仿宋" w:eastAsia="仿宋" w:cs="仿宋"/>
          <w:sz w:val="24"/>
          <w:szCs w:val="24"/>
        </w:rPr>
        <w:t>。</w:t>
      </w:r>
    </w:p>
    <w:p w14:paraId="749486F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1.1.3 本项目名称：</w:t>
      </w:r>
      <w:r>
        <w:rPr>
          <w:rFonts w:hint="eastAsia" w:ascii="仿宋" w:hAnsi="仿宋" w:eastAsia="仿宋" w:cs="仿宋"/>
          <w:color w:val="000000"/>
          <w:sz w:val="24"/>
          <w:szCs w:val="24"/>
        </w:rPr>
        <w:t>见询价采购公告</w:t>
      </w:r>
      <w:r>
        <w:rPr>
          <w:rFonts w:hint="eastAsia" w:ascii="仿宋" w:hAnsi="仿宋" w:eastAsia="仿宋" w:cs="仿宋"/>
          <w:sz w:val="24"/>
          <w:szCs w:val="24"/>
        </w:rPr>
        <w:t>。</w:t>
      </w:r>
    </w:p>
    <w:p w14:paraId="24D2ACF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1.1.4 本项目服务地点：</w:t>
      </w:r>
      <w:r>
        <w:rPr>
          <w:rFonts w:hint="eastAsia" w:ascii="仿宋" w:hAnsi="仿宋" w:eastAsia="仿宋" w:cs="仿宋"/>
          <w:color w:val="000000"/>
          <w:sz w:val="24"/>
          <w:szCs w:val="24"/>
        </w:rPr>
        <w:t>见询价采购公告</w:t>
      </w:r>
      <w:r>
        <w:rPr>
          <w:rFonts w:hint="eastAsia" w:ascii="仿宋" w:hAnsi="仿宋" w:eastAsia="仿宋" w:cs="仿宋"/>
          <w:sz w:val="24"/>
          <w:szCs w:val="24"/>
        </w:rPr>
        <w:t>。</w:t>
      </w:r>
    </w:p>
    <w:p w14:paraId="48241A09">
      <w:pPr>
        <w:pStyle w:val="3"/>
        <w:spacing w:before="0" w:after="0" w:line="560" w:lineRule="exact"/>
        <w:ind w:firstLine="482" w:firstLineChars="200"/>
        <w:rPr>
          <w:rFonts w:ascii="仿宋" w:hAnsi="仿宋" w:eastAsia="仿宋" w:cs="仿宋"/>
          <w:sz w:val="30"/>
          <w:szCs w:val="30"/>
        </w:rPr>
      </w:pPr>
      <w:bookmarkStart w:id="52" w:name="_Toc152042308"/>
      <w:bookmarkStart w:id="53" w:name="_Toc152045532"/>
      <w:bookmarkStart w:id="54" w:name="_Toc40700967"/>
      <w:bookmarkStart w:id="55" w:name="_Toc247085692"/>
      <w:bookmarkStart w:id="56" w:name="_Toc246996921"/>
      <w:bookmarkStart w:id="57" w:name="_Toc179632549"/>
      <w:bookmarkStart w:id="58" w:name="_Toc246996178"/>
      <w:bookmarkStart w:id="59" w:name="_Toc144974500"/>
      <w:r>
        <w:rPr>
          <w:rFonts w:hint="eastAsia" w:ascii="仿宋" w:hAnsi="仿宋" w:eastAsia="仿宋" w:cs="仿宋"/>
          <w:sz w:val="24"/>
          <w:szCs w:val="24"/>
        </w:rPr>
        <w:t>1.2 采购范围、交货期、交货地点要求</w:t>
      </w:r>
      <w:bookmarkEnd w:id="52"/>
      <w:bookmarkEnd w:id="53"/>
      <w:bookmarkEnd w:id="54"/>
      <w:bookmarkEnd w:id="55"/>
      <w:bookmarkEnd w:id="56"/>
      <w:bookmarkEnd w:id="57"/>
      <w:bookmarkEnd w:id="58"/>
      <w:bookmarkEnd w:id="59"/>
    </w:p>
    <w:p w14:paraId="794132B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1.2.1 本次采购范围：</w:t>
      </w:r>
      <w:r>
        <w:rPr>
          <w:rFonts w:hint="eastAsia" w:ascii="仿宋" w:hAnsi="仿宋" w:eastAsia="仿宋" w:cs="仿宋"/>
          <w:color w:val="000000"/>
          <w:sz w:val="24"/>
          <w:szCs w:val="24"/>
        </w:rPr>
        <w:t>见询价采购公告</w:t>
      </w:r>
      <w:r>
        <w:rPr>
          <w:rFonts w:hint="eastAsia" w:ascii="仿宋" w:hAnsi="仿宋" w:eastAsia="仿宋" w:cs="仿宋"/>
          <w:sz w:val="24"/>
          <w:szCs w:val="24"/>
        </w:rPr>
        <w:t>。</w:t>
      </w:r>
    </w:p>
    <w:p w14:paraId="1ED103F6">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1.2.2 本项目的交货期：</w:t>
      </w:r>
      <w:r>
        <w:rPr>
          <w:rFonts w:hint="eastAsia" w:ascii="仿宋" w:hAnsi="仿宋" w:eastAsia="仿宋" w:cs="仿宋"/>
          <w:color w:val="000000"/>
          <w:sz w:val="24"/>
          <w:szCs w:val="24"/>
        </w:rPr>
        <w:t>见询价采购公告</w:t>
      </w:r>
      <w:r>
        <w:rPr>
          <w:rFonts w:hint="eastAsia" w:ascii="仿宋" w:hAnsi="仿宋" w:eastAsia="仿宋" w:cs="仿宋"/>
          <w:sz w:val="24"/>
          <w:szCs w:val="24"/>
        </w:rPr>
        <w:t>。</w:t>
      </w:r>
    </w:p>
    <w:p w14:paraId="4F4A3AF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1.3.3 本项目的交货地点：</w:t>
      </w:r>
      <w:r>
        <w:rPr>
          <w:rFonts w:hint="eastAsia" w:ascii="仿宋" w:hAnsi="仿宋" w:eastAsia="仿宋" w:cs="仿宋"/>
          <w:color w:val="000000"/>
          <w:sz w:val="24"/>
          <w:szCs w:val="24"/>
        </w:rPr>
        <w:t>见询价采购公告</w:t>
      </w:r>
      <w:r>
        <w:rPr>
          <w:rFonts w:hint="eastAsia" w:ascii="仿宋" w:hAnsi="仿宋" w:eastAsia="仿宋" w:cs="仿宋"/>
          <w:sz w:val="24"/>
          <w:szCs w:val="24"/>
        </w:rPr>
        <w:t>。</w:t>
      </w:r>
    </w:p>
    <w:p w14:paraId="66EA3061">
      <w:pPr>
        <w:pStyle w:val="3"/>
        <w:spacing w:before="0" w:after="0" w:line="560" w:lineRule="exact"/>
        <w:ind w:firstLine="482" w:firstLineChars="200"/>
        <w:rPr>
          <w:rFonts w:ascii="仿宋" w:hAnsi="仿宋" w:eastAsia="仿宋" w:cs="仿宋"/>
          <w:sz w:val="30"/>
          <w:szCs w:val="30"/>
        </w:rPr>
      </w:pPr>
      <w:bookmarkStart w:id="60" w:name="_Toc247085693"/>
      <w:bookmarkStart w:id="61" w:name="_Toc152042310"/>
      <w:bookmarkStart w:id="62" w:name="_Toc144974502"/>
      <w:bookmarkStart w:id="63" w:name="_Toc246996922"/>
      <w:bookmarkStart w:id="64" w:name="_Toc40700968"/>
      <w:bookmarkStart w:id="65" w:name="_Toc246996179"/>
      <w:bookmarkStart w:id="66" w:name="_Toc179632551"/>
      <w:bookmarkStart w:id="67" w:name="_Toc152045534"/>
      <w:r>
        <w:rPr>
          <w:rFonts w:hint="eastAsia" w:ascii="仿宋" w:hAnsi="仿宋" w:eastAsia="仿宋" w:cs="仿宋"/>
          <w:sz w:val="24"/>
          <w:szCs w:val="24"/>
        </w:rPr>
        <w:t>1.3 供应商资格要求</w:t>
      </w:r>
      <w:bookmarkEnd w:id="60"/>
      <w:bookmarkEnd w:id="61"/>
      <w:bookmarkEnd w:id="62"/>
      <w:bookmarkEnd w:id="63"/>
      <w:bookmarkEnd w:id="64"/>
      <w:bookmarkEnd w:id="65"/>
      <w:bookmarkEnd w:id="66"/>
      <w:bookmarkEnd w:id="67"/>
    </w:p>
    <w:p w14:paraId="42702D1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1.3.1 供应商应具备承担本项目服务的资质条件、能力和信誉。</w:t>
      </w:r>
    </w:p>
    <w:p w14:paraId="4FC83AD7">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a.</w:t>
      </w:r>
      <w:r>
        <w:rPr>
          <w:rFonts w:hint="eastAsia" w:ascii="仿宋" w:hAnsi="仿宋" w:eastAsia="仿宋" w:cs="仿宋"/>
          <w:color w:val="auto"/>
          <w:sz w:val="24"/>
          <w:szCs w:val="24"/>
          <w:highlight w:val="none"/>
        </w:rPr>
        <w:t>独立法人资格（有效期内）</w:t>
      </w:r>
      <w:r>
        <w:rPr>
          <w:rFonts w:hint="eastAsia" w:ascii="仿宋" w:hAnsi="仿宋" w:eastAsia="仿宋" w:cs="仿宋"/>
          <w:b w:val="0"/>
          <w:bCs w:val="0"/>
          <w:color w:val="auto"/>
          <w:sz w:val="24"/>
          <w:szCs w:val="24"/>
          <w:highlight w:val="none"/>
        </w:rPr>
        <w:t>且注册资金</w:t>
      </w:r>
      <w:r>
        <w:rPr>
          <w:rFonts w:hint="eastAsia" w:ascii="仿宋" w:hAnsi="仿宋" w:eastAsia="仿宋" w:cs="仿宋"/>
          <w:b w:val="0"/>
          <w:bCs w:val="0"/>
          <w:color w:val="auto"/>
          <w:sz w:val="24"/>
          <w:szCs w:val="24"/>
          <w:highlight w:val="none"/>
          <w:lang w:val="en-US" w:eastAsia="zh-CN"/>
        </w:rPr>
        <w:t>500</w:t>
      </w:r>
      <w:r>
        <w:rPr>
          <w:rFonts w:hint="eastAsia" w:ascii="仿宋" w:hAnsi="仿宋" w:eastAsia="仿宋" w:cs="仿宋"/>
          <w:b w:val="0"/>
          <w:bCs w:val="0"/>
          <w:color w:val="auto"/>
          <w:sz w:val="24"/>
          <w:szCs w:val="24"/>
          <w:highlight w:val="none"/>
        </w:rPr>
        <w:t>万元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含</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color w:val="auto"/>
          <w:sz w:val="24"/>
          <w:szCs w:val="24"/>
          <w:highlight w:val="none"/>
        </w:rPr>
        <w:t>以上</w:t>
      </w:r>
      <w:r>
        <w:rPr>
          <w:rFonts w:hint="eastAsia" w:ascii="仿宋" w:hAnsi="仿宋" w:eastAsia="仿宋" w:cs="仿宋"/>
          <w:sz w:val="24"/>
          <w:szCs w:val="24"/>
          <w:highlight w:val="none"/>
        </w:rPr>
        <w:t>；</w:t>
      </w:r>
    </w:p>
    <w:p w14:paraId="5C75105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b.具备满足采购物资合格质量证明文件（产品合格检测报告等）；</w:t>
      </w:r>
    </w:p>
    <w:p w14:paraId="4DF8743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c.提供生产经营许可证和安全生产许可证；经销商提供经销授权书或相关许可证；</w:t>
      </w:r>
    </w:p>
    <w:p w14:paraId="269C5CE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d.应提交经办人员授权委托书及社保证明；</w:t>
      </w:r>
    </w:p>
    <w:p w14:paraId="1C83F2B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e.具有厂家授权的经销商证明文件（参与人是经销商时）。</w:t>
      </w:r>
    </w:p>
    <w:p w14:paraId="56B70482">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1.3.2 供应商存在下列情形之一，不得参与报价，已经参与的报价无效。</w:t>
      </w:r>
    </w:p>
    <w:p w14:paraId="13CABEC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a.供应商不具备独立法人资格；</w:t>
      </w:r>
    </w:p>
    <w:p w14:paraId="645A779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b.被行政主管部门处罚、责令停业的；</w:t>
      </w:r>
    </w:p>
    <w:p w14:paraId="47481CA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c.因经营不善，资产被接管或冻结的；</w:t>
      </w:r>
    </w:p>
    <w:p w14:paraId="78CA534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d.在最近二年内有严重违约或供应货物出现较大质量问题的；</w:t>
      </w:r>
    </w:p>
    <w:p w14:paraId="0915EA8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e.列入被执行人或失信人记录，属于经营高风险企业；</w:t>
      </w:r>
    </w:p>
    <w:p w14:paraId="757E5AC8">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f.进入采购人集团公司失信供应商名录，在限制期限内的；</w:t>
      </w:r>
    </w:p>
    <w:p w14:paraId="321DA62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g.企业近1年完税异常及其他相关不良行为等；</w:t>
      </w:r>
    </w:p>
    <w:p w14:paraId="2A51945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1.3.3 单位负责人为同一人或者存在控股、管理关系的不同单位，不得同时参加本项目。</w:t>
      </w:r>
    </w:p>
    <w:p w14:paraId="6DBEB579">
      <w:pPr>
        <w:pStyle w:val="3"/>
        <w:spacing w:before="0" w:after="0" w:line="560" w:lineRule="exact"/>
        <w:ind w:firstLine="482" w:firstLineChars="200"/>
        <w:rPr>
          <w:rFonts w:ascii="仿宋" w:hAnsi="仿宋" w:eastAsia="仿宋" w:cs="仿宋"/>
          <w:sz w:val="24"/>
          <w:szCs w:val="24"/>
        </w:rPr>
      </w:pPr>
      <w:bookmarkStart w:id="68" w:name="_Toc152045535"/>
      <w:bookmarkStart w:id="69" w:name="_Toc247085694"/>
      <w:bookmarkStart w:id="70" w:name="_Toc144974503"/>
      <w:bookmarkStart w:id="71" w:name="_Toc40700969"/>
      <w:bookmarkStart w:id="72" w:name="_Toc152042311"/>
      <w:bookmarkStart w:id="73" w:name="_Toc246996923"/>
      <w:bookmarkStart w:id="74" w:name="_Toc246996180"/>
      <w:bookmarkStart w:id="75" w:name="_Toc179632552"/>
      <w:r>
        <w:rPr>
          <w:rFonts w:hint="eastAsia" w:ascii="仿宋" w:hAnsi="仿宋" w:eastAsia="仿宋" w:cs="仿宋"/>
          <w:sz w:val="24"/>
          <w:szCs w:val="24"/>
        </w:rPr>
        <w:t>1.4 费用承担</w:t>
      </w:r>
      <w:bookmarkEnd w:id="68"/>
      <w:bookmarkEnd w:id="69"/>
      <w:bookmarkEnd w:id="70"/>
      <w:bookmarkEnd w:id="71"/>
      <w:bookmarkEnd w:id="72"/>
      <w:bookmarkEnd w:id="73"/>
      <w:bookmarkEnd w:id="74"/>
      <w:bookmarkEnd w:id="75"/>
    </w:p>
    <w:p w14:paraId="7D1F6F6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供应商准备和参加询价采购活动发生的费用自理。</w:t>
      </w:r>
    </w:p>
    <w:p w14:paraId="3432A4C2">
      <w:pPr>
        <w:pStyle w:val="3"/>
        <w:spacing w:before="0" w:after="0" w:line="560" w:lineRule="exact"/>
        <w:ind w:firstLine="482" w:firstLineChars="200"/>
        <w:rPr>
          <w:rFonts w:ascii="仿宋" w:hAnsi="仿宋" w:eastAsia="仿宋" w:cs="仿宋"/>
          <w:sz w:val="24"/>
          <w:szCs w:val="24"/>
        </w:rPr>
      </w:pPr>
      <w:bookmarkStart w:id="76" w:name="_Toc179632553"/>
      <w:bookmarkStart w:id="77" w:name="_Toc246996924"/>
      <w:bookmarkStart w:id="78" w:name="_Toc246996181"/>
      <w:bookmarkStart w:id="79" w:name="_Toc152045536"/>
      <w:bookmarkStart w:id="80" w:name="_Toc152042312"/>
      <w:bookmarkStart w:id="81" w:name="_Toc40700970"/>
      <w:bookmarkStart w:id="82" w:name="_Toc247085695"/>
      <w:bookmarkStart w:id="83" w:name="_Toc144974504"/>
      <w:r>
        <w:rPr>
          <w:rFonts w:hint="eastAsia" w:ascii="仿宋" w:hAnsi="仿宋" w:eastAsia="仿宋" w:cs="仿宋"/>
          <w:sz w:val="24"/>
          <w:szCs w:val="24"/>
        </w:rPr>
        <w:t>1.5 保密</w:t>
      </w:r>
      <w:bookmarkEnd w:id="76"/>
      <w:bookmarkEnd w:id="77"/>
      <w:bookmarkEnd w:id="78"/>
      <w:bookmarkEnd w:id="79"/>
      <w:bookmarkEnd w:id="80"/>
      <w:bookmarkEnd w:id="81"/>
      <w:bookmarkEnd w:id="82"/>
      <w:bookmarkEnd w:id="83"/>
    </w:p>
    <w:p w14:paraId="648FC92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参与采购活动的各方应对采购文件和响应文件中的商业和技术等事项负责保密，违者应对由此造成的后果及损失承担责任。 </w:t>
      </w:r>
    </w:p>
    <w:p w14:paraId="78DE917E">
      <w:pPr>
        <w:pStyle w:val="3"/>
        <w:spacing w:before="0" w:after="0" w:line="560" w:lineRule="exact"/>
        <w:ind w:firstLine="482" w:firstLineChars="200"/>
        <w:rPr>
          <w:rFonts w:ascii="仿宋" w:hAnsi="仿宋" w:eastAsia="仿宋" w:cs="仿宋"/>
          <w:sz w:val="24"/>
          <w:szCs w:val="24"/>
        </w:rPr>
      </w:pPr>
      <w:bookmarkStart w:id="84" w:name="_Toc144974505"/>
      <w:bookmarkStart w:id="85" w:name="_Toc179632554"/>
      <w:bookmarkStart w:id="86" w:name="_Toc246996182"/>
      <w:bookmarkStart w:id="87" w:name="_Toc152045537"/>
      <w:bookmarkStart w:id="88" w:name="_Toc247085696"/>
      <w:bookmarkStart w:id="89" w:name="_Toc246996925"/>
      <w:bookmarkStart w:id="90" w:name="_Toc152042313"/>
      <w:bookmarkStart w:id="91" w:name="_Toc40700971"/>
      <w:r>
        <w:rPr>
          <w:rFonts w:hint="eastAsia" w:ascii="仿宋" w:hAnsi="仿宋" w:eastAsia="仿宋" w:cs="仿宋"/>
          <w:sz w:val="24"/>
          <w:szCs w:val="24"/>
        </w:rPr>
        <w:t>1.6 语言</w:t>
      </w:r>
      <w:bookmarkEnd w:id="84"/>
      <w:r>
        <w:rPr>
          <w:rFonts w:hint="eastAsia" w:ascii="仿宋" w:hAnsi="仿宋" w:eastAsia="仿宋" w:cs="仿宋"/>
          <w:sz w:val="24"/>
          <w:szCs w:val="24"/>
        </w:rPr>
        <w:t>文字</w:t>
      </w:r>
      <w:bookmarkEnd w:id="85"/>
      <w:bookmarkEnd w:id="86"/>
      <w:bookmarkEnd w:id="87"/>
      <w:bookmarkEnd w:id="88"/>
      <w:bookmarkEnd w:id="89"/>
      <w:bookmarkEnd w:id="90"/>
      <w:bookmarkEnd w:id="91"/>
    </w:p>
    <w:p w14:paraId="11551B46">
      <w:pPr>
        <w:spacing w:line="560" w:lineRule="exact"/>
        <w:ind w:firstLine="480" w:firstLineChars="200"/>
        <w:rPr>
          <w:rFonts w:ascii="仿宋" w:hAnsi="仿宋" w:eastAsia="仿宋" w:cs="仿宋"/>
          <w:sz w:val="24"/>
          <w:szCs w:val="24"/>
        </w:rPr>
      </w:pPr>
      <w:bookmarkStart w:id="92" w:name="_Toc152042314"/>
      <w:bookmarkStart w:id="93" w:name="_Toc246996183"/>
      <w:bookmarkStart w:id="94" w:name="_Toc144974506"/>
      <w:bookmarkStart w:id="95" w:name="_Toc247085697"/>
      <w:bookmarkStart w:id="96" w:name="_Toc246996926"/>
      <w:bookmarkStart w:id="97" w:name="_Toc152045538"/>
      <w:bookmarkStart w:id="98" w:name="_Toc179632555"/>
      <w:r>
        <w:rPr>
          <w:rFonts w:hint="eastAsia" w:ascii="仿宋" w:hAnsi="仿宋" w:eastAsia="仿宋" w:cs="仿宋"/>
          <w:sz w:val="24"/>
          <w:szCs w:val="24"/>
        </w:rPr>
        <w:t>采购、响应文件使用的语言文字为中文。专用术语使用外文的，应附有中文注释。</w:t>
      </w:r>
    </w:p>
    <w:p w14:paraId="6BE62D0C">
      <w:pPr>
        <w:pStyle w:val="3"/>
        <w:spacing w:before="0" w:after="0" w:line="560" w:lineRule="exact"/>
        <w:ind w:firstLine="482" w:firstLineChars="200"/>
        <w:rPr>
          <w:rFonts w:ascii="仿宋" w:hAnsi="仿宋" w:eastAsia="仿宋" w:cs="仿宋"/>
          <w:sz w:val="24"/>
          <w:szCs w:val="24"/>
        </w:rPr>
      </w:pPr>
      <w:bookmarkStart w:id="99" w:name="_Toc40700972"/>
      <w:r>
        <w:rPr>
          <w:rFonts w:hint="eastAsia" w:ascii="仿宋" w:hAnsi="仿宋" w:eastAsia="仿宋" w:cs="仿宋"/>
          <w:sz w:val="24"/>
          <w:szCs w:val="24"/>
        </w:rPr>
        <w:t>1.7 计量单位</w:t>
      </w:r>
      <w:bookmarkEnd w:id="92"/>
      <w:bookmarkEnd w:id="93"/>
      <w:bookmarkEnd w:id="94"/>
      <w:bookmarkEnd w:id="95"/>
      <w:bookmarkEnd w:id="96"/>
      <w:bookmarkEnd w:id="97"/>
      <w:bookmarkEnd w:id="98"/>
      <w:bookmarkEnd w:id="99"/>
    </w:p>
    <w:p w14:paraId="4DA81DD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所有计量均采用中华人民共和国法定计量单位。</w:t>
      </w:r>
    </w:p>
    <w:p w14:paraId="74D2DD54">
      <w:pPr>
        <w:pStyle w:val="3"/>
        <w:spacing w:before="0" w:after="0" w:line="560" w:lineRule="exact"/>
        <w:ind w:firstLine="482" w:firstLineChars="200"/>
        <w:rPr>
          <w:rFonts w:ascii="仿宋" w:hAnsi="仿宋" w:eastAsia="仿宋" w:cs="仿宋"/>
          <w:sz w:val="24"/>
          <w:szCs w:val="24"/>
        </w:rPr>
      </w:pPr>
      <w:bookmarkStart w:id="100" w:name="_Toc247592876"/>
      <w:bookmarkStart w:id="101" w:name="_Toc247527563"/>
      <w:bookmarkStart w:id="102" w:name="_Toc247513962"/>
      <w:bookmarkStart w:id="103" w:name="_Toc152042315"/>
      <w:bookmarkStart w:id="104" w:name="_Toc152045539"/>
      <w:bookmarkStart w:id="105" w:name="_Toc40700973"/>
      <w:bookmarkStart w:id="106" w:name="_Toc144974507"/>
      <w:r>
        <w:rPr>
          <w:rFonts w:hint="eastAsia" w:ascii="仿宋" w:hAnsi="仿宋" w:eastAsia="仿宋" w:cs="仿宋"/>
          <w:sz w:val="24"/>
          <w:szCs w:val="24"/>
        </w:rPr>
        <w:t>1.8 踏勘现场</w:t>
      </w:r>
      <w:bookmarkEnd w:id="100"/>
      <w:bookmarkEnd w:id="101"/>
      <w:bookmarkEnd w:id="102"/>
      <w:bookmarkEnd w:id="103"/>
      <w:bookmarkEnd w:id="104"/>
      <w:bookmarkEnd w:id="105"/>
      <w:bookmarkEnd w:id="106"/>
    </w:p>
    <w:p w14:paraId="04A2FFB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1.8.1 供应商须知前附表规定组织踏勘现场的，采购人按供应商须知前附表规定的时间、地点组织供应商踏勘项目现场。 </w:t>
      </w:r>
    </w:p>
    <w:p w14:paraId="0DBD6C6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1.8.2 供应商踏勘现场发生的费用自理。</w:t>
      </w:r>
    </w:p>
    <w:p w14:paraId="4B569E2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1.8.3 除采购人的原因外，供应商自行负责在踏勘现场中所发生的人员伤亡和财产损失。</w:t>
      </w:r>
    </w:p>
    <w:p w14:paraId="4B45646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1.8.4 采购人在踏勘现场中介绍的场地和相关的周边环境情况，供应商在编制响应文件时参考，采购人不对供应商据此作出的判断和决策负责。</w:t>
      </w:r>
    </w:p>
    <w:p w14:paraId="7C164E67">
      <w:pPr>
        <w:pStyle w:val="3"/>
        <w:spacing w:before="0" w:after="0" w:line="560" w:lineRule="exact"/>
        <w:ind w:firstLine="482" w:firstLineChars="200"/>
        <w:rPr>
          <w:rFonts w:ascii="仿宋" w:hAnsi="仿宋" w:eastAsia="仿宋" w:cs="仿宋"/>
          <w:sz w:val="24"/>
          <w:szCs w:val="24"/>
        </w:rPr>
      </w:pPr>
      <w:bookmarkStart w:id="107" w:name="_Toc144974508"/>
      <w:bookmarkStart w:id="108" w:name="_Toc247527564"/>
      <w:bookmarkStart w:id="109" w:name="_Toc40700974"/>
      <w:bookmarkStart w:id="110" w:name="_Toc152042316"/>
      <w:bookmarkStart w:id="111" w:name="_Toc152045540"/>
      <w:bookmarkStart w:id="112" w:name="_Toc247513963"/>
      <w:bookmarkStart w:id="113" w:name="_Toc247592877"/>
      <w:r>
        <w:rPr>
          <w:rFonts w:hint="eastAsia" w:ascii="仿宋" w:hAnsi="仿宋" w:eastAsia="仿宋" w:cs="仿宋"/>
          <w:sz w:val="24"/>
          <w:szCs w:val="24"/>
        </w:rPr>
        <w:t>1.9 询价采购预备会</w:t>
      </w:r>
      <w:bookmarkEnd w:id="107"/>
      <w:bookmarkEnd w:id="108"/>
      <w:bookmarkEnd w:id="109"/>
      <w:bookmarkEnd w:id="110"/>
      <w:bookmarkEnd w:id="111"/>
      <w:bookmarkEnd w:id="112"/>
      <w:bookmarkEnd w:id="113"/>
    </w:p>
    <w:p w14:paraId="7D561046">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1.9.1 供应商须知前附表规定召开采购预备会的，采购人按供应商须知前附表规定的时间和地点召开采购预备会，澄清供应商提出的问题。</w:t>
      </w:r>
    </w:p>
    <w:p w14:paraId="35A0310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1.9.2 供应商应在供应商须知前附表规定的时间前，以书面形式将提出的问题送达采购人，以便采购人澄清。</w:t>
      </w:r>
    </w:p>
    <w:p w14:paraId="396735A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1.9.3 采购预备会后，采购人在供应商须知前附表规定的时间内，将对供应商所提问题的澄清，以书面形式通知所有购买文件的供应商。该澄清内容为采购文件的组成部分。</w:t>
      </w:r>
    </w:p>
    <w:p w14:paraId="370E4EF0">
      <w:pPr>
        <w:pStyle w:val="3"/>
        <w:spacing w:before="0" w:after="0" w:line="560" w:lineRule="exact"/>
        <w:ind w:firstLine="482" w:firstLineChars="200"/>
        <w:rPr>
          <w:rFonts w:ascii="仿宋" w:hAnsi="仿宋" w:eastAsia="仿宋" w:cs="仿宋"/>
          <w:sz w:val="30"/>
          <w:szCs w:val="30"/>
        </w:rPr>
      </w:pPr>
      <w:bookmarkStart w:id="114" w:name="_Toc40700975"/>
      <w:r>
        <w:rPr>
          <w:rFonts w:hint="eastAsia" w:ascii="仿宋" w:hAnsi="仿宋" w:eastAsia="仿宋" w:cs="仿宋"/>
          <w:sz w:val="24"/>
          <w:szCs w:val="24"/>
        </w:rPr>
        <w:t>1.10 偏离</w:t>
      </w:r>
      <w:bookmarkEnd w:id="114"/>
    </w:p>
    <w:p w14:paraId="60E2283F">
      <w:pPr>
        <w:spacing w:line="560" w:lineRule="exact"/>
        <w:ind w:firstLine="410" w:firstLineChars="171"/>
        <w:rPr>
          <w:rFonts w:ascii="仿宋" w:hAnsi="仿宋" w:eastAsia="仿宋" w:cs="仿宋"/>
          <w:sz w:val="24"/>
          <w:szCs w:val="24"/>
        </w:rPr>
      </w:pPr>
      <w:r>
        <w:rPr>
          <w:rFonts w:hint="eastAsia" w:ascii="仿宋" w:hAnsi="仿宋" w:eastAsia="仿宋" w:cs="仿宋"/>
          <w:sz w:val="24"/>
          <w:szCs w:val="24"/>
        </w:rPr>
        <w:t>供应商须知前附表允许响应文件偏离采购文件某些要求的，偏离应当符合采购文件规定的偏离范围和幅度。</w:t>
      </w:r>
    </w:p>
    <w:p w14:paraId="3BF5F036">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1.11 报价有效期</w:t>
      </w:r>
    </w:p>
    <w:p w14:paraId="0F9515F5">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1.11.1 除另有规定外，</w:t>
      </w:r>
      <w:r>
        <w:rPr>
          <w:rFonts w:hint="eastAsia" w:ascii="仿宋" w:hAnsi="仿宋" w:eastAsia="仿宋" w:cs="仿宋"/>
          <w:color w:val="auto"/>
          <w:sz w:val="24"/>
          <w:szCs w:val="24"/>
          <w:u w:val="single"/>
        </w:rPr>
        <w:t xml:space="preserve"> 3</w:t>
      </w:r>
      <w:r>
        <w:rPr>
          <w:rFonts w:hint="eastAsia" w:ascii="仿宋" w:hAnsi="仿宋" w:eastAsia="仿宋" w:cs="仿宋"/>
          <w:b/>
          <w:bCs/>
          <w:color w:val="auto"/>
          <w:sz w:val="24"/>
          <w:szCs w:val="24"/>
          <w:u w:val="single"/>
        </w:rPr>
        <w:t xml:space="preserve">0天 </w:t>
      </w:r>
      <w:r>
        <w:rPr>
          <w:rFonts w:hint="eastAsia" w:ascii="仿宋" w:hAnsi="仿宋" w:eastAsia="仿宋" w:cs="仿宋"/>
          <w:sz w:val="24"/>
          <w:szCs w:val="24"/>
        </w:rPr>
        <w:t>。</w:t>
      </w:r>
    </w:p>
    <w:p w14:paraId="46F74CD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1.11.2 在报价有效期内，供应商人撤销或修改其报价文件的，应承担采购人的所有损失，并承担询价文件和法律规定的责任。</w:t>
      </w:r>
    </w:p>
    <w:p w14:paraId="3D9EDB64">
      <w:pPr>
        <w:pStyle w:val="3"/>
        <w:spacing w:before="0" w:after="0" w:line="560" w:lineRule="exact"/>
        <w:rPr>
          <w:rFonts w:ascii="黑体" w:hAnsi="黑体" w:cs="黑体"/>
          <w:b w:val="0"/>
          <w:bCs/>
          <w:sz w:val="24"/>
          <w:szCs w:val="24"/>
        </w:rPr>
      </w:pPr>
      <w:bookmarkStart w:id="115" w:name="_Toc144974510"/>
      <w:bookmarkStart w:id="116" w:name="_Toc40700976"/>
      <w:bookmarkStart w:id="117" w:name="_Toc246996187"/>
      <w:bookmarkStart w:id="118" w:name="_Toc152042318"/>
      <w:bookmarkStart w:id="119" w:name="_Toc247085701"/>
      <w:bookmarkStart w:id="120" w:name="_Toc152045542"/>
      <w:bookmarkStart w:id="121" w:name="_Toc179632560"/>
      <w:bookmarkStart w:id="122" w:name="_Toc246996930"/>
      <w:r>
        <w:rPr>
          <w:rFonts w:hint="eastAsia" w:ascii="黑体" w:hAnsi="黑体" w:cs="黑体"/>
          <w:b w:val="0"/>
          <w:bCs/>
          <w:sz w:val="24"/>
          <w:szCs w:val="24"/>
        </w:rPr>
        <w:t>2. 询价采购文件</w:t>
      </w:r>
      <w:bookmarkEnd w:id="115"/>
      <w:bookmarkEnd w:id="116"/>
      <w:bookmarkEnd w:id="117"/>
      <w:bookmarkEnd w:id="118"/>
      <w:bookmarkEnd w:id="119"/>
      <w:bookmarkEnd w:id="120"/>
      <w:bookmarkEnd w:id="121"/>
      <w:bookmarkEnd w:id="122"/>
    </w:p>
    <w:p w14:paraId="35E303D6">
      <w:pPr>
        <w:pStyle w:val="3"/>
        <w:spacing w:before="0" w:after="0" w:line="560" w:lineRule="exact"/>
        <w:ind w:firstLine="482" w:firstLineChars="200"/>
        <w:rPr>
          <w:rFonts w:ascii="仿宋" w:hAnsi="仿宋" w:eastAsia="仿宋" w:cs="仿宋"/>
          <w:sz w:val="24"/>
          <w:szCs w:val="24"/>
        </w:rPr>
      </w:pPr>
      <w:bookmarkStart w:id="123" w:name="_Toc152045543"/>
      <w:bookmarkStart w:id="124" w:name="_Toc247085702"/>
      <w:bookmarkStart w:id="125" w:name="_Toc152042319"/>
      <w:bookmarkStart w:id="126" w:name="_Toc144974511"/>
      <w:bookmarkStart w:id="127" w:name="_Toc246996931"/>
      <w:bookmarkStart w:id="128" w:name="_Toc40700977"/>
      <w:bookmarkStart w:id="129" w:name="_Toc246996188"/>
      <w:bookmarkStart w:id="130" w:name="_Toc179632561"/>
      <w:r>
        <w:rPr>
          <w:rFonts w:hint="eastAsia" w:ascii="仿宋" w:hAnsi="仿宋" w:eastAsia="仿宋" w:cs="仿宋"/>
          <w:sz w:val="24"/>
          <w:szCs w:val="24"/>
        </w:rPr>
        <w:t>2.1 询价采购文件的组成</w:t>
      </w:r>
      <w:bookmarkEnd w:id="123"/>
      <w:bookmarkEnd w:id="124"/>
      <w:bookmarkEnd w:id="125"/>
      <w:bookmarkEnd w:id="126"/>
      <w:bookmarkEnd w:id="127"/>
      <w:bookmarkEnd w:id="128"/>
      <w:bookmarkEnd w:id="129"/>
      <w:bookmarkEnd w:id="130"/>
    </w:p>
    <w:p w14:paraId="6E80A236">
      <w:pPr>
        <w:spacing w:line="560" w:lineRule="exact"/>
        <w:ind w:firstLine="480" w:firstLineChars="200"/>
        <w:rPr>
          <w:rFonts w:ascii="仿宋" w:hAnsi="仿宋" w:eastAsia="仿宋" w:cs="仿宋"/>
          <w:sz w:val="24"/>
          <w:szCs w:val="24"/>
        </w:rPr>
      </w:pPr>
      <w:bookmarkStart w:id="131" w:name="_Toc179632562"/>
      <w:bookmarkStart w:id="132" w:name="_Toc152045544"/>
      <w:bookmarkStart w:id="133" w:name="_Toc152042320"/>
      <w:bookmarkStart w:id="134" w:name="_Toc246996189"/>
      <w:bookmarkStart w:id="135" w:name="_Toc246996932"/>
      <w:bookmarkStart w:id="136" w:name="_Toc40700978"/>
      <w:bookmarkStart w:id="137" w:name="_Toc247085703"/>
      <w:bookmarkStart w:id="138" w:name="_Toc144974512"/>
      <w:r>
        <w:rPr>
          <w:rFonts w:hint="eastAsia" w:ascii="仿宋" w:hAnsi="仿宋" w:eastAsia="仿宋" w:cs="仿宋"/>
          <w:sz w:val="24"/>
          <w:szCs w:val="24"/>
        </w:rPr>
        <w:t>2.1.1 本询价采购文件包括：</w:t>
      </w:r>
    </w:p>
    <w:p w14:paraId="1BF826CC">
      <w:pPr>
        <w:spacing w:line="560" w:lineRule="exact"/>
        <w:ind w:firstLine="480" w:firstLineChars="200"/>
        <w:rPr>
          <w:rFonts w:ascii="仿宋" w:hAnsi="仿宋" w:eastAsia="仿宋" w:cs="仿宋"/>
          <w:sz w:val="24"/>
          <w:szCs w:val="24"/>
        </w:rPr>
      </w:pPr>
      <w:bookmarkStart w:id="139" w:name="_Hlk129684457"/>
      <w:r>
        <w:rPr>
          <w:rFonts w:hint="eastAsia" w:ascii="仿宋" w:hAnsi="仿宋" w:eastAsia="仿宋" w:cs="仿宋"/>
          <w:sz w:val="24"/>
          <w:szCs w:val="24"/>
        </w:rPr>
        <w:t>a.询价采购公告（或邀请书）；</w:t>
      </w:r>
    </w:p>
    <w:p w14:paraId="37C78DE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b.供应商须知；</w:t>
      </w:r>
    </w:p>
    <w:p w14:paraId="4E0FF62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c.评审办法；</w:t>
      </w:r>
    </w:p>
    <w:p w14:paraId="6CF5BFA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d.合同条款及格式；</w:t>
      </w:r>
    </w:p>
    <w:p w14:paraId="51B669D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e.项目要求； </w:t>
      </w:r>
    </w:p>
    <w:p w14:paraId="0FE4511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f.响应文件格式；</w:t>
      </w:r>
    </w:p>
    <w:p w14:paraId="29A3598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g.供应商须知前附表规定的其他材料</w:t>
      </w:r>
      <w:bookmarkEnd w:id="139"/>
      <w:r>
        <w:rPr>
          <w:rFonts w:hint="eastAsia" w:ascii="仿宋" w:hAnsi="仿宋" w:eastAsia="仿宋" w:cs="仿宋"/>
          <w:sz w:val="24"/>
          <w:szCs w:val="24"/>
        </w:rPr>
        <w:t>。</w:t>
      </w:r>
    </w:p>
    <w:p w14:paraId="58E0EC82">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2.1.2 根据第二章第1.10款中规定对采购文件所作的澄清、修改部分，构成采购文件的组成部分。</w:t>
      </w:r>
    </w:p>
    <w:p w14:paraId="1834FBCA">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2.2询价文件的获取</w:t>
      </w:r>
    </w:p>
    <w:p w14:paraId="4307280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2.2.1 在中国兵器采购电子商务平台公开发布询价文件。</w:t>
      </w:r>
    </w:p>
    <w:p w14:paraId="6DAB437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2.2.2 凡有意合作者，首先应通过中国兵器工业集团公司阳光七彩电子商务平台注册成为平台会员；注册成功后，在规定时间获取询价文件并通过平台支付保证金（后期退还）费用。</w:t>
      </w:r>
    </w:p>
    <w:p w14:paraId="5D67DCC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2.2.3 未通过上述方式获取询价文件的供应商，其报价文件将予以拒收。</w:t>
      </w:r>
    </w:p>
    <w:p w14:paraId="1C893022">
      <w:pPr>
        <w:pStyle w:val="3"/>
        <w:spacing w:before="0" w:after="0" w:line="560" w:lineRule="exact"/>
        <w:ind w:firstLine="482" w:firstLineChars="200"/>
        <w:rPr>
          <w:rFonts w:ascii="仿宋" w:hAnsi="仿宋" w:eastAsia="仿宋" w:cs="仿宋"/>
          <w:sz w:val="30"/>
          <w:szCs w:val="30"/>
        </w:rPr>
      </w:pPr>
      <w:r>
        <w:rPr>
          <w:rFonts w:hint="eastAsia" w:ascii="仿宋" w:hAnsi="仿宋" w:eastAsia="仿宋" w:cs="仿宋"/>
          <w:sz w:val="24"/>
          <w:szCs w:val="24"/>
        </w:rPr>
        <w:t>2.3 询价采购文件的澄清</w:t>
      </w:r>
      <w:bookmarkEnd w:id="131"/>
      <w:bookmarkEnd w:id="132"/>
      <w:bookmarkEnd w:id="133"/>
      <w:bookmarkEnd w:id="134"/>
      <w:bookmarkEnd w:id="135"/>
      <w:bookmarkEnd w:id="136"/>
      <w:bookmarkEnd w:id="137"/>
      <w:bookmarkEnd w:id="138"/>
      <w:r>
        <w:rPr>
          <w:rFonts w:hint="eastAsia" w:ascii="仿宋" w:hAnsi="仿宋" w:eastAsia="仿宋" w:cs="仿宋"/>
          <w:sz w:val="30"/>
          <w:szCs w:val="30"/>
        </w:rPr>
        <w:t xml:space="preserve"> </w:t>
      </w:r>
    </w:p>
    <w:p w14:paraId="082F2282">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2.3.1 供应商应仔细阅读和检查询价文件的全部内容。如发现缺页或附件不全，应及时向采购人提出，以便补齐。如有疑问，应在规定的时间前以电子邮件形式，要求采购人对询价文件予以澄清。</w:t>
      </w:r>
    </w:p>
    <w:p w14:paraId="7E1D72D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2.3.2 供应商在收到澄清后，应在规定的时间内以电子邮件形式通知采购人，确认已收到该澄清。</w:t>
      </w:r>
    </w:p>
    <w:p w14:paraId="7C446899">
      <w:pPr>
        <w:pStyle w:val="3"/>
        <w:spacing w:before="0" w:after="0" w:line="560" w:lineRule="exact"/>
        <w:rPr>
          <w:rFonts w:ascii="黑体" w:hAnsi="黑体" w:cs="黑体"/>
          <w:b w:val="0"/>
          <w:bCs/>
          <w:sz w:val="24"/>
          <w:szCs w:val="24"/>
        </w:rPr>
      </w:pPr>
      <w:bookmarkStart w:id="140" w:name="_Toc40700980"/>
      <w:bookmarkStart w:id="141" w:name="_Toc179632564"/>
      <w:bookmarkStart w:id="142" w:name="_Toc246996191"/>
      <w:bookmarkStart w:id="143" w:name="_Toc246996934"/>
      <w:bookmarkStart w:id="144" w:name="_Toc247085705"/>
      <w:bookmarkStart w:id="145" w:name="_Toc152042322"/>
      <w:bookmarkStart w:id="146" w:name="_Toc152045546"/>
      <w:bookmarkStart w:id="147" w:name="_Toc144974514"/>
      <w:r>
        <w:rPr>
          <w:rFonts w:hint="eastAsia" w:ascii="黑体" w:hAnsi="黑体" w:cs="黑体"/>
          <w:b w:val="0"/>
          <w:bCs/>
          <w:sz w:val="24"/>
          <w:szCs w:val="24"/>
        </w:rPr>
        <w:t>3. 响应文件</w:t>
      </w:r>
      <w:bookmarkEnd w:id="140"/>
      <w:bookmarkEnd w:id="141"/>
      <w:bookmarkEnd w:id="142"/>
      <w:bookmarkEnd w:id="143"/>
      <w:bookmarkEnd w:id="144"/>
      <w:bookmarkEnd w:id="145"/>
      <w:bookmarkEnd w:id="146"/>
      <w:bookmarkEnd w:id="147"/>
    </w:p>
    <w:p w14:paraId="579CC9FE">
      <w:pPr>
        <w:pStyle w:val="3"/>
        <w:spacing w:before="0" w:after="0" w:line="560" w:lineRule="exact"/>
        <w:ind w:firstLine="482" w:firstLineChars="200"/>
        <w:rPr>
          <w:rFonts w:ascii="仿宋" w:hAnsi="仿宋" w:eastAsia="仿宋" w:cs="仿宋"/>
          <w:sz w:val="30"/>
          <w:szCs w:val="30"/>
          <w:highlight w:val="none"/>
        </w:rPr>
      </w:pPr>
      <w:bookmarkStart w:id="148" w:name="_Toc179632565"/>
      <w:bookmarkStart w:id="149" w:name="_Toc152045547"/>
      <w:bookmarkStart w:id="150" w:name="_Toc246996935"/>
      <w:bookmarkStart w:id="151" w:name="_Toc152042323"/>
      <w:bookmarkStart w:id="152" w:name="_Toc246996192"/>
      <w:bookmarkStart w:id="153" w:name="_Toc247085706"/>
      <w:bookmarkStart w:id="154" w:name="_Toc40700981"/>
      <w:bookmarkStart w:id="155" w:name="_Toc144974515"/>
      <w:r>
        <w:rPr>
          <w:rFonts w:hint="eastAsia" w:ascii="仿宋" w:hAnsi="仿宋" w:eastAsia="仿宋" w:cs="仿宋"/>
          <w:sz w:val="24"/>
          <w:szCs w:val="24"/>
          <w:highlight w:val="none"/>
        </w:rPr>
        <w:t>3.1 响应文件</w:t>
      </w:r>
      <w:r>
        <w:rPr>
          <w:rFonts w:hint="eastAsia" w:ascii="仿宋" w:hAnsi="仿宋" w:eastAsia="仿宋" w:cs="仿宋"/>
          <w:sz w:val="24"/>
          <w:szCs w:val="24"/>
          <w:highlight w:val="none"/>
          <w:lang w:val="en-US" w:eastAsia="zh-CN"/>
        </w:rPr>
        <w:t>基本</w:t>
      </w:r>
      <w:r>
        <w:rPr>
          <w:rFonts w:hint="eastAsia" w:ascii="仿宋" w:hAnsi="仿宋" w:eastAsia="仿宋" w:cs="仿宋"/>
          <w:sz w:val="24"/>
          <w:szCs w:val="24"/>
          <w:highlight w:val="none"/>
        </w:rPr>
        <w:t>组成</w:t>
      </w:r>
      <w:bookmarkEnd w:id="148"/>
      <w:bookmarkEnd w:id="149"/>
      <w:bookmarkEnd w:id="150"/>
      <w:bookmarkEnd w:id="151"/>
      <w:bookmarkEnd w:id="152"/>
      <w:bookmarkEnd w:id="153"/>
      <w:bookmarkEnd w:id="154"/>
      <w:bookmarkEnd w:id="155"/>
    </w:p>
    <w:p w14:paraId="5F8F4F7E">
      <w:pPr>
        <w:spacing w:line="560" w:lineRule="exact"/>
        <w:ind w:firstLine="480" w:firstLineChars="200"/>
        <w:rPr>
          <w:rFonts w:ascii="仿宋" w:hAnsi="仿宋" w:eastAsia="仿宋" w:cs="仿宋"/>
          <w:sz w:val="24"/>
          <w:szCs w:val="24"/>
          <w:highlight w:val="none"/>
        </w:rPr>
      </w:pPr>
      <w:bookmarkStart w:id="156" w:name="_Toc152042324"/>
      <w:bookmarkStart w:id="157" w:name="_Toc246996936"/>
      <w:bookmarkStart w:id="158" w:name="_Toc144974516"/>
      <w:bookmarkStart w:id="159" w:name="_Toc246996193"/>
      <w:bookmarkStart w:id="160" w:name="_Toc179632566"/>
      <w:bookmarkStart w:id="161" w:name="_Toc40700982"/>
      <w:bookmarkStart w:id="162" w:name="_Toc152045548"/>
      <w:bookmarkStart w:id="163" w:name="_Toc247085707"/>
      <w:r>
        <w:rPr>
          <w:rFonts w:hint="eastAsia" w:ascii="仿宋" w:hAnsi="仿宋" w:eastAsia="仿宋" w:cs="仿宋"/>
          <w:sz w:val="24"/>
          <w:szCs w:val="24"/>
          <w:highlight w:val="none"/>
        </w:rPr>
        <w:t>3.1.1响应函</w:t>
      </w:r>
    </w:p>
    <w:p w14:paraId="5E947499">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3.1.2法定代表人身份证明或附有法定代表人身份证明的授权委托书</w:t>
      </w:r>
    </w:p>
    <w:p w14:paraId="0F58B5FA">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3.1.3材料询价（报价）表</w:t>
      </w:r>
    </w:p>
    <w:p w14:paraId="70D3D717">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3.1.4技术方案（如有要求）</w:t>
      </w:r>
    </w:p>
    <w:p w14:paraId="2161618F">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3.1.5资格审查资料：营业执照复印件、近半年完税证明文件、近2年类似、相近采购协议（合同）3份（《近年完成的类似项目情况表》）、产品说明和检测报告等其他相关资料、厂家授权的经销商证明文件（复印件）、其他资料。</w:t>
      </w:r>
    </w:p>
    <w:p w14:paraId="67EDB8D2">
      <w:pPr>
        <w:pStyle w:val="3"/>
        <w:spacing w:before="0" w:after="0" w:line="560" w:lineRule="exact"/>
        <w:ind w:firstLine="482" w:firstLineChars="200"/>
        <w:rPr>
          <w:rFonts w:ascii="仿宋" w:hAnsi="仿宋" w:eastAsia="仿宋" w:cs="仿宋"/>
          <w:sz w:val="30"/>
          <w:szCs w:val="30"/>
        </w:rPr>
      </w:pPr>
      <w:r>
        <w:rPr>
          <w:rFonts w:hint="eastAsia" w:ascii="仿宋" w:hAnsi="仿宋" w:eastAsia="仿宋" w:cs="仿宋"/>
          <w:sz w:val="24"/>
          <w:szCs w:val="24"/>
        </w:rPr>
        <w:t>3.2报价</w:t>
      </w:r>
      <w:bookmarkEnd w:id="156"/>
      <w:bookmarkEnd w:id="157"/>
      <w:bookmarkEnd w:id="158"/>
      <w:bookmarkEnd w:id="159"/>
      <w:bookmarkEnd w:id="160"/>
      <w:bookmarkEnd w:id="161"/>
      <w:bookmarkEnd w:id="162"/>
      <w:bookmarkEnd w:id="163"/>
    </w:p>
    <w:p w14:paraId="5D8E856A">
      <w:pPr>
        <w:spacing w:line="560" w:lineRule="exact"/>
        <w:ind w:firstLine="480" w:firstLineChars="200"/>
        <w:rPr>
          <w:rFonts w:ascii="仿宋" w:hAnsi="仿宋" w:eastAsia="仿宋" w:cs="仿宋"/>
          <w:sz w:val="24"/>
          <w:szCs w:val="24"/>
        </w:rPr>
      </w:pPr>
      <w:bookmarkStart w:id="164" w:name="_Toc179632567"/>
      <w:bookmarkStart w:id="165" w:name="_Toc247085708"/>
      <w:bookmarkStart w:id="166" w:name="_Toc152045549"/>
      <w:bookmarkStart w:id="167" w:name="_Toc246996194"/>
      <w:bookmarkStart w:id="168" w:name="_Toc40700983"/>
      <w:bookmarkStart w:id="169" w:name="_Toc152042325"/>
      <w:bookmarkStart w:id="170" w:name="_Toc144974517"/>
      <w:bookmarkStart w:id="171" w:name="_Toc246996937"/>
      <w:r>
        <w:rPr>
          <w:rFonts w:hint="eastAsia" w:ascii="仿宋" w:hAnsi="仿宋" w:eastAsia="仿宋" w:cs="仿宋"/>
          <w:sz w:val="24"/>
          <w:szCs w:val="24"/>
        </w:rPr>
        <w:t>3.2.1 供应商应按相应的要求填写相应表格、文件。</w:t>
      </w:r>
    </w:p>
    <w:p w14:paraId="3C2D4BC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3.2.2 供应商在报价截止时间前修改报价函中的报价总额，应同时修改其他的相应报价。</w:t>
      </w:r>
    </w:p>
    <w:p w14:paraId="2AB20313">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 xml:space="preserve">3.3 </w:t>
      </w:r>
      <w:bookmarkEnd w:id="164"/>
      <w:bookmarkEnd w:id="165"/>
      <w:bookmarkEnd w:id="166"/>
      <w:bookmarkEnd w:id="167"/>
      <w:bookmarkEnd w:id="168"/>
      <w:bookmarkEnd w:id="169"/>
      <w:bookmarkEnd w:id="170"/>
      <w:bookmarkEnd w:id="171"/>
      <w:r>
        <w:rPr>
          <w:rFonts w:hint="eastAsia" w:ascii="仿宋" w:hAnsi="仿宋" w:eastAsia="仿宋" w:cs="仿宋"/>
          <w:sz w:val="24"/>
          <w:szCs w:val="24"/>
        </w:rPr>
        <w:t>定价原则</w:t>
      </w:r>
    </w:p>
    <w:p w14:paraId="2EE2115B">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3.3.1 定价原则及价格调整，见</w:t>
      </w:r>
      <w:r>
        <w:rPr>
          <w:rFonts w:hint="eastAsia" w:ascii="仿宋" w:hAnsi="仿宋" w:eastAsia="仿宋" w:cs="仿宋"/>
          <w:color w:val="000000"/>
          <w:sz w:val="24"/>
          <w:szCs w:val="24"/>
        </w:rPr>
        <w:t>询价采购公告。</w:t>
      </w:r>
    </w:p>
    <w:p w14:paraId="60D7E4B3">
      <w:pPr>
        <w:pStyle w:val="3"/>
        <w:spacing w:before="0" w:after="0" w:line="560" w:lineRule="exact"/>
        <w:ind w:firstLine="482" w:firstLineChars="200"/>
        <w:rPr>
          <w:rFonts w:ascii="仿宋" w:hAnsi="仿宋" w:eastAsia="仿宋" w:cs="仿宋"/>
          <w:sz w:val="30"/>
          <w:szCs w:val="30"/>
        </w:rPr>
      </w:pPr>
      <w:bookmarkStart w:id="172" w:name="_Toc40700984"/>
      <w:bookmarkStart w:id="173" w:name="_Toc144974518"/>
      <w:bookmarkStart w:id="174" w:name="_Toc152045550"/>
      <w:bookmarkStart w:id="175" w:name="_Toc247085709"/>
      <w:bookmarkStart w:id="176" w:name="_Toc152042326"/>
      <w:bookmarkStart w:id="177" w:name="_Toc246996938"/>
      <w:bookmarkStart w:id="178" w:name="_Toc246996195"/>
      <w:bookmarkStart w:id="179" w:name="_Toc179632568"/>
      <w:r>
        <w:rPr>
          <w:rFonts w:hint="eastAsia" w:ascii="仿宋" w:hAnsi="仿宋" w:eastAsia="仿宋" w:cs="仿宋"/>
          <w:sz w:val="24"/>
          <w:szCs w:val="24"/>
        </w:rPr>
        <w:t>3.4 保证金</w:t>
      </w:r>
      <w:bookmarkEnd w:id="172"/>
      <w:bookmarkEnd w:id="173"/>
      <w:bookmarkEnd w:id="174"/>
      <w:bookmarkEnd w:id="175"/>
      <w:bookmarkEnd w:id="176"/>
      <w:bookmarkEnd w:id="177"/>
      <w:bookmarkEnd w:id="178"/>
      <w:bookmarkEnd w:id="179"/>
    </w:p>
    <w:p w14:paraId="07FC221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3.4.1 供应商须知前附表规定递交保证金的，供应商在递交响应文件的同时，应按供应商须知前附表规定的金额、担保形式和第六章“响应文件格式”规定的或者事先经过采购人认可的保证金格式递交保证金，并作为其响应文件的组成部分。</w:t>
      </w:r>
    </w:p>
    <w:p w14:paraId="2C585A9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3.4.2保证金的收付通过平台资金管理系统进行，保证金的支付时间以平台资金管理系统记录的到账时间为准，递交及退还方式详见《阳光七采（中国兵器电子商务平台）询价交易规则》。</w:t>
      </w:r>
    </w:p>
    <w:p w14:paraId="53D51C78">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3.4.3 供应商不按本章第3.4.1项要求提交保证金的，将会被评审小组否决。</w:t>
      </w:r>
    </w:p>
    <w:p w14:paraId="4E81546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3.4.4 有下列情形之一的，保证金将不予退还。 </w:t>
      </w:r>
    </w:p>
    <w:p w14:paraId="656B8EF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a.供应商在规定的有效期内撤销或修改已响应的文件。</w:t>
      </w:r>
    </w:p>
    <w:p w14:paraId="079FC3E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b.成交供应商在收到成交通知书后，无正当理由拒签合同协议书或未按采购文件规定提交履约担保。</w:t>
      </w:r>
    </w:p>
    <w:p w14:paraId="4411F83C">
      <w:pPr>
        <w:pStyle w:val="3"/>
        <w:spacing w:before="0" w:after="0" w:line="560" w:lineRule="exact"/>
        <w:ind w:firstLine="482" w:firstLineChars="200"/>
        <w:rPr>
          <w:rFonts w:ascii="仿宋" w:hAnsi="仿宋" w:eastAsia="仿宋" w:cs="仿宋"/>
          <w:b w:val="0"/>
          <w:bCs/>
          <w:sz w:val="30"/>
          <w:szCs w:val="30"/>
        </w:rPr>
      </w:pPr>
      <w:bookmarkStart w:id="180" w:name="_Toc40700986"/>
      <w:bookmarkStart w:id="181" w:name="_Toc246996940"/>
      <w:bookmarkStart w:id="182" w:name="_Toc246996197"/>
      <w:bookmarkStart w:id="183" w:name="_Toc247085711"/>
      <w:bookmarkStart w:id="184" w:name="_Toc144974521"/>
      <w:bookmarkStart w:id="185" w:name="_Toc179632571"/>
      <w:bookmarkStart w:id="186" w:name="_Toc152045553"/>
      <w:bookmarkStart w:id="187" w:name="_Toc152042329"/>
      <w:r>
        <w:rPr>
          <w:rFonts w:hint="eastAsia" w:ascii="仿宋" w:hAnsi="仿宋" w:eastAsia="仿宋" w:cs="仿宋"/>
          <w:sz w:val="24"/>
          <w:szCs w:val="24"/>
        </w:rPr>
        <w:t>3.5响应文件的编制</w:t>
      </w:r>
      <w:bookmarkEnd w:id="180"/>
      <w:r>
        <w:rPr>
          <w:rFonts w:hint="eastAsia" w:ascii="仿宋" w:hAnsi="仿宋" w:eastAsia="仿宋" w:cs="仿宋"/>
          <w:b w:val="0"/>
          <w:sz w:val="24"/>
          <w:szCs w:val="24"/>
        </w:rPr>
        <w:t>（网上递交响应文件，结合4.2,4.3执行）</w:t>
      </w:r>
    </w:p>
    <w:bookmarkEnd w:id="181"/>
    <w:bookmarkEnd w:id="182"/>
    <w:bookmarkEnd w:id="183"/>
    <w:bookmarkEnd w:id="184"/>
    <w:bookmarkEnd w:id="185"/>
    <w:bookmarkEnd w:id="186"/>
    <w:bookmarkEnd w:id="187"/>
    <w:p w14:paraId="5403D2DB">
      <w:pPr>
        <w:spacing w:line="560" w:lineRule="exact"/>
        <w:ind w:firstLine="480" w:firstLineChars="200"/>
        <w:rPr>
          <w:rFonts w:ascii="仿宋" w:hAnsi="仿宋" w:eastAsia="仿宋" w:cs="仿宋"/>
          <w:sz w:val="24"/>
          <w:szCs w:val="24"/>
        </w:rPr>
      </w:pPr>
      <w:bookmarkStart w:id="188" w:name="_Toc179632573"/>
      <w:bookmarkStart w:id="189" w:name="_Toc246996942"/>
      <w:bookmarkStart w:id="190" w:name="_Toc144974523"/>
      <w:bookmarkStart w:id="191" w:name="_Toc152042331"/>
      <w:bookmarkStart w:id="192" w:name="_Toc40700987"/>
      <w:bookmarkStart w:id="193" w:name="_Toc247085713"/>
      <w:bookmarkStart w:id="194" w:name="_Toc152045555"/>
      <w:bookmarkStart w:id="195" w:name="_Toc246996199"/>
      <w:r>
        <w:rPr>
          <w:rFonts w:hint="eastAsia" w:ascii="仿宋" w:hAnsi="仿宋" w:eastAsia="仿宋" w:cs="仿宋"/>
          <w:sz w:val="24"/>
          <w:szCs w:val="24"/>
        </w:rPr>
        <w:t>3.5.1 报价函：在满足询价文件实质性要求的基础上，可以提出比询价文件要求更有利于采购人的承诺。</w:t>
      </w:r>
    </w:p>
    <w:p w14:paraId="70452A8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3.5.2 报价文件应当对询价文件有关送货周期、加工周期、报价有效期、质量要求、技术标准和要求等实质性内容作出响应。</w:t>
      </w:r>
    </w:p>
    <w:p w14:paraId="5C1B6C0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3.5.3 报价文件应用不褪色的材料书写或打印，并由供应商的法定代表人或其委托代理人签字及盖单位公章，委托代理人签字的，报价文件应附法定代表人签署的授权委托书。</w:t>
      </w:r>
    </w:p>
    <w:p w14:paraId="7299C8D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3.5.4 文件应避免涂改、行间插字或删除。如果出现上述情况，改动之处应加盖单位章或由供应商的法定代表人或其授权的代理人签字确认。</w:t>
      </w:r>
    </w:p>
    <w:p w14:paraId="7A11856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3.5.5 响应文件正本一份, 副本份数见供应商须知前附表，正本和副本的封面上应清楚地标记“正本”或“副本”的字样，当副本和正本不一致时，以正本为准。</w:t>
      </w:r>
    </w:p>
    <w:p w14:paraId="09C53EEF">
      <w:pPr>
        <w:pStyle w:val="3"/>
        <w:spacing w:before="0" w:after="0" w:line="560" w:lineRule="exact"/>
        <w:rPr>
          <w:rFonts w:ascii="仿宋" w:hAnsi="仿宋" w:eastAsia="仿宋" w:cs="仿宋"/>
          <w:sz w:val="30"/>
          <w:szCs w:val="30"/>
        </w:rPr>
      </w:pPr>
      <w:r>
        <w:rPr>
          <w:rFonts w:hint="eastAsia" w:ascii="黑体" w:hAnsi="黑体" w:cs="黑体"/>
          <w:b w:val="0"/>
          <w:bCs/>
          <w:sz w:val="24"/>
          <w:szCs w:val="24"/>
        </w:rPr>
        <w:t xml:space="preserve">4. </w:t>
      </w:r>
      <w:bookmarkEnd w:id="188"/>
      <w:bookmarkEnd w:id="189"/>
      <w:bookmarkEnd w:id="190"/>
      <w:bookmarkEnd w:id="191"/>
      <w:bookmarkEnd w:id="192"/>
      <w:bookmarkEnd w:id="193"/>
      <w:bookmarkEnd w:id="194"/>
      <w:bookmarkEnd w:id="195"/>
      <w:r>
        <w:rPr>
          <w:rFonts w:hint="eastAsia" w:ascii="黑体" w:hAnsi="黑体" w:cs="黑体"/>
          <w:b w:val="0"/>
          <w:bCs/>
          <w:sz w:val="24"/>
          <w:szCs w:val="24"/>
        </w:rPr>
        <w:t>响应文件的递交</w:t>
      </w:r>
    </w:p>
    <w:p w14:paraId="61A0A46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4.1 供应商应在规定的截止时间前递交响应文件。</w:t>
      </w:r>
    </w:p>
    <w:p w14:paraId="627D369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4.2.通过中国兵器采购电子商务平台比选报价的，不要求提供纸质版响应文件。</w:t>
      </w:r>
    </w:p>
    <w:p w14:paraId="2E3B5BF8">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4.3.响应文件应按要求签字、盖章（含骑缝章）后扫描上传。</w:t>
      </w:r>
    </w:p>
    <w:p w14:paraId="208F0CB3">
      <w:pPr>
        <w:pStyle w:val="3"/>
        <w:spacing w:before="0" w:after="0" w:line="560" w:lineRule="exact"/>
        <w:rPr>
          <w:rFonts w:ascii="仿宋" w:hAnsi="仿宋" w:eastAsia="仿宋" w:cs="仿宋"/>
          <w:sz w:val="30"/>
          <w:szCs w:val="30"/>
        </w:rPr>
      </w:pPr>
      <w:bookmarkStart w:id="196" w:name="_Toc247085720"/>
      <w:bookmarkStart w:id="197" w:name="_Toc246996206"/>
      <w:bookmarkStart w:id="198" w:name="_Toc152045562"/>
      <w:bookmarkStart w:id="199" w:name="_Toc144974530"/>
      <w:bookmarkStart w:id="200" w:name="_Toc179632580"/>
      <w:bookmarkStart w:id="201" w:name="_Toc40700995"/>
      <w:bookmarkStart w:id="202" w:name="_Toc246996949"/>
      <w:bookmarkStart w:id="203" w:name="_Toc152042338"/>
      <w:r>
        <w:rPr>
          <w:rFonts w:hint="eastAsia" w:ascii="黑体" w:hAnsi="黑体" w:cs="黑体"/>
          <w:b w:val="0"/>
          <w:bCs/>
          <w:sz w:val="24"/>
          <w:szCs w:val="24"/>
        </w:rPr>
        <w:t>5. 评审</w:t>
      </w:r>
      <w:bookmarkEnd w:id="196"/>
      <w:bookmarkEnd w:id="197"/>
      <w:bookmarkEnd w:id="198"/>
      <w:bookmarkEnd w:id="199"/>
      <w:bookmarkEnd w:id="200"/>
      <w:bookmarkEnd w:id="201"/>
      <w:bookmarkEnd w:id="202"/>
      <w:bookmarkEnd w:id="203"/>
    </w:p>
    <w:p w14:paraId="7BB55904">
      <w:pPr>
        <w:pStyle w:val="3"/>
        <w:spacing w:before="0" w:after="0" w:line="560" w:lineRule="exact"/>
        <w:ind w:firstLine="482" w:firstLineChars="200"/>
        <w:rPr>
          <w:rFonts w:ascii="仿宋" w:hAnsi="仿宋" w:eastAsia="仿宋" w:cs="仿宋"/>
          <w:sz w:val="24"/>
          <w:szCs w:val="24"/>
        </w:rPr>
      </w:pPr>
      <w:bookmarkStart w:id="204" w:name="_Toc152045563"/>
      <w:bookmarkStart w:id="205" w:name="_Toc247085721"/>
      <w:bookmarkStart w:id="206" w:name="_Toc179632581"/>
      <w:bookmarkStart w:id="207" w:name="_Toc246996207"/>
      <w:bookmarkStart w:id="208" w:name="_Toc40700996"/>
      <w:bookmarkStart w:id="209" w:name="_Toc152042339"/>
      <w:bookmarkStart w:id="210" w:name="_Toc246996950"/>
      <w:bookmarkStart w:id="211" w:name="_Toc144974531"/>
      <w:r>
        <w:rPr>
          <w:rFonts w:hint="eastAsia" w:ascii="仿宋" w:hAnsi="仿宋" w:eastAsia="仿宋" w:cs="仿宋"/>
          <w:sz w:val="24"/>
          <w:szCs w:val="24"/>
        </w:rPr>
        <w:t>5.1 评审</w:t>
      </w:r>
      <w:bookmarkEnd w:id="204"/>
      <w:bookmarkEnd w:id="205"/>
      <w:bookmarkEnd w:id="206"/>
      <w:bookmarkEnd w:id="207"/>
      <w:bookmarkEnd w:id="208"/>
      <w:bookmarkEnd w:id="209"/>
      <w:bookmarkEnd w:id="210"/>
      <w:bookmarkEnd w:id="211"/>
      <w:r>
        <w:rPr>
          <w:rFonts w:hint="eastAsia" w:ascii="仿宋" w:hAnsi="仿宋" w:eastAsia="仿宋" w:cs="仿宋"/>
          <w:sz w:val="24"/>
          <w:szCs w:val="24"/>
        </w:rPr>
        <w:t>小组</w:t>
      </w:r>
    </w:p>
    <w:p w14:paraId="66735196">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5.1.1 评审由采购人组建的评审小组负责。评审小组由采购人的技术、经济等方面的人员组成。</w:t>
      </w:r>
    </w:p>
    <w:p w14:paraId="4198EF5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5.1.2 评审小组成员有下列情形之一的，应当回避。</w:t>
      </w:r>
    </w:p>
    <w:p w14:paraId="79F4A3E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a.供应商或供应商主要负责人的近亲属；</w:t>
      </w:r>
    </w:p>
    <w:p w14:paraId="23FA6862">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b.项目主管部门或者行政监督部门的人员；</w:t>
      </w:r>
    </w:p>
    <w:p w14:paraId="3A7DFBD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c.与供应商有经济利益关系；</w:t>
      </w:r>
    </w:p>
    <w:p w14:paraId="01D1F4E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d.曾因在询价、评审以及其他与询价、评选有关活动中从事违法行为而受过行政处罚或刑事处罚的；</w:t>
      </w:r>
    </w:p>
    <w:p w14:paraId="2A1F313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e.与供应商有其他利害关系。</w:t>
      </w:r>
      <w:bookmarkStart w:id="212" w:name="_Toc152042340"/>
      <w:bookmarkStart w:id="213" w:name="_Toc246996951"/>
      <w:bookmarkStart w:id="214" w:name="_Toc179632582"/>
      <w:bookmarkStart w:id="215" w:name="_Toc152045564"/>
      <w:bookmarkStart w:id="216" w:name="_Toc246996208"/>
      <w:bookmarkStart w:id="217" w:name="_Toc247085722"/>
      <w:bookmarkStart w:id="218" w:name="_Toc144974532"/>
      <w:bookmarkStart w:id="219" w:name="_Toc40700997"/>
    </w:p>
    <w:p w14:paraId="51CDFA7B">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5.2 评审</w:t>
      </w:r>
      <w:bookmarkEnd w:id="212"/>
      <w:bookmarkEnd w:id="213"/>
      <w:bookmarkEnd w:id="214"/>
      <w:bookmarkEnd w:id="215"/>
      <w:bookmarkEnd w:id="216"/>
      <w:bookmarkEnd w:id="217"/>
      <w:bookmarkEnd w:id="218"/>
      <w:bookmarkEnd w:id="219"/>
      <w:r>
        <w:rPr>
          <w:rFonts w:hint="eastAsia" w:ascii="仿宋" w:hAnsi="仿宋" w:eastAsia="仿宋" w:cs="仿宋"/>
          <w:sz w:val="24"/>
          <w:szCs w:val="24"/>
        </w:rPr>
        <w:t>办法</w:t>
      </w:r>
    </w:p>
    <w:p w14:paraId="10F3D97C">
      <w:pPr>
        <w:spacing w:line="560" w:lineRule="exact"/>
        <w:ind w:firstLine="480" w:firstLineChars="200"/>
        <w:rPr>
          <w:rFonts w:ascii="仿宋" w:hAnsi="仿宋" w:eastAsia="仿宋" w:cs="仿宋"/>
          <w:bCs/>
          <w:sz w:val="30"/>
          <w:szCs w:val="30"/>
        </w:rPr>
      </w:pPr>
      <w:bookmarkStart w:id="220" w:name="_Toc152042341"/>
      <w:bookmarkStart w:id="221" w:name="_Toc40700998"/>
      <w:bookmarkStart w:id="222" w:name="_Toc246996209"/>
      <w:bookmarkStart w:id="223" w:name="_Toc144974533"/>
      <w:bookmarkStart w:id="224" w:name="_Toc246996952"/>
      <w:bookmarkStart w:id="225" w:name="_Toc152045565"/>
      <w:bookmarkStart w:id="226" w:name="_Toc179632583"/>
      <w:bookmarkStart w:id="227" w:name="_Toc247085723"/>
      <w:r>
        <w:rPr>
          <w:rFonts w:hint="eastAsia" w:ascii="仿宋" w:hAnsi="仿宋" w:eastAsia="仿宋" w:cs="仿宋"/>
          <w:sz w:val="24"/>
          <w:szCs w:val="24"/>
        </w:rPr>
        <w:t xml:space="preserve">  评审办法见第三章评审办法</w:t>
      </w:r>
      <w:r>
        <w:rPr>
          <w:rFonts w:hint="eastAsia" w:ascii="仿宋" w:hAnsi="仿宋" w:eastAsia="仿宋" w:cs="仿宋"/>
          <w:bCs/>
          <w:sz w:val="24"/>
          <w:szCs w:val="24"/>
        </w:rPr>
        <w:t>。</w:t>
      </w:r>
    </w:p>
    <w:p w14:paraId="175418D3">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5.3 评审</w:t>
      </w:r>
      <w:bookmarkEnd w:id="220"/>
      <w:bookmarkEnd w:id="221"/>
      <w:bookmarkEnd w:id="222"/>
      <w:bookmarkEnd w:id="223"/>
      <w:bookmarkEnd w:id="224"/>
      <w:bookmarkEnd w:id="225"/>
      <w:bookmarkEnd w:id="226"/>
      <w:bookmarkEnd w:id="227"/>
      <w:r>
        <w:rPr>
          <w:rFonts w:hint="eastAsia" w:ascii="仿宋" w:hAnsi="仿宋" w:eastAsia="仿宋" w:cs="仿宋"/>
          <w:sz w:val="24"/>
          <w:szCs w:val="24"/>
        </w:rPr>
        <w:t>依据</w:t>
      </w:r>
    </w:p>
    <w:p w14:paraId="2DE08F3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参照《北京北方世纪建筑装饰工程有限公司物资采购管理实施细则（试行）》的相关要求组织评审小组评审。</w:t>
      </w:r>
    </w:p>
    <w:p w14:paraId="29C6855B">
      <w:pPr>
        <w:pStyle w:val="3"/>
        <w:spacing w:before="0" w:after="0" w:line="560" w:lineRule="exact"/>
        <w:ind w:firstLine="482" w:firstLineChars="200"/>
        <w:rPr>
          <w:rFonts w:ascii="仿宋" w:hAnsi="仿宋" w:eastAsia="仿宋" w:cs="仿宋"/>
          <w:sz w:val="30"/>
          <w:szCs w:val="30"/>
        </w:rPr>
      </w:pPr>
      <w:r>
        <w:rPr>
          <w:rFonts w:hint="eastAsia" w:ascii="仿宋" w:hAnsi="仿宋" w:eastAsia="仿宋" w:cs="仿宋"/>
          <w:sz w:val="24"/>
          <w:szCs w:val="24"/>
        </w:rPr>
        <w:t>5.4 出现以下情况按照作废报价处理</w:t>
      </w:r>
    </w:p>
    <w:p w14:paraId="53B6BE0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5.4.1 串通报价或弄虚作假或有其他违法行为的。</w:t>
      </w:r>
    </w:p>
    <w:p w14:paraId="1A984FC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5.4.2 供应商IP地址雷同、注册地址雷同、不同供应商手机号雷同、不同供应商法定代表人姓名、身份证号雷同等。</w:t>
      </w:r>
    </w:p>
    <w:p w14:paraId="10EA7CF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5.4.3 不按比选评审小组要求澄清、说明或补正的。</w:t>
      </w:r>
    </w:p>
    <w:p w14:paraId="777F16B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5.4.4 比选询价总报价超过询价控制价的（不含等于）。（不设控制价，此条不适用）</w:t>
      </w:r>
    </w:p>
    <w:p w14:paraId="5C8EBB9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5.4.5 出现以上情况，情节恶劣其报价保证金不予退还；给采购人造成的损失超过询价保证金数额的，供应商还应当对超过部分予以赔偿。</w:t>
      </w:r>
    </w:p>
    <w:p w14:paraId="17EA0E3A">
      <w:pPr>
        <w:pStyle w:val="3"/>
        <w:spacing w:before="0" w:after="0" w:line="560" w:lineRule="exact"/>
        <w:rPr>
          <w:rFonts w:ascii="仿宋" w:hAnsi="仿宋" w:eastAsia="仿宋" w:cs="仿宋"/>
          <w:sz w:val="30"/>
          <w:szCs w:val="30"/>
        </w:rPr>
      </w:pPr>
      <w:bookmarkStart w:id="228" w:name="_Toc152042342"/>
      <w:bookmarkStart w:id="229" w:name="_Toc144974534"/>
      <w:bookmarkStart w:id="230" w:name="_Toc152045566"/>
      <w:bookmarkStart w:id="231" w:name="_Toc246996210"/>
      <w:bookmarkStart w:id="232" w:name="_Toc179632584"/>
      <w:bookmarkStart w:id="233" w:name="_Toc247085724"/>
      <w:bookmarkStart w:id="234" w:name="_Toc246996953"/>
      <w:bookmarkStart w:id="235" w:name="_Toc40700999"/>
      <w:r>
        <w:rPr>
          <w:rFonts w:hint="eastAsia" w:ascii="黑体" w:hAnsi="黑体" w:cs="黑体"/>
          <w:b w:val="0"/>
          <w:bCs/>
          <w:sz w:val="24"/>
          <w:szCs w:val="24"/>
        </w:rPr>
        <w:t>6. 协议授予</w:t>
      </w:r>
      <w:bookmarkEnd w:id="228"/>
      <w:bookmarkEnd w:id="229"/>
      <w:bookmarkEnd w:id="230"/>
      <w:bookmarkEnd w:id="231"/>
      <w:bookmarkEnd w:id="232"/>
      <w:bookmarkEnd w:id="233"/>
      <w:bookmarkEnd w:id="234"/>
      <w:bookmarkEnd w:id="235"/>
    </w:p>
    <w:p w14:paraId="24CE9FF4">
      <w:pPr>
        <w:pStyle w:val="3"/>
        <w:spacing w:before="0" w:after="0" w:line="560" w:lineRule="exact"/>
        <w:ind w:firstLine="482" w:firstLineChars="200"/>
        <w:rPr>
          <w:rFonts w:ascii="仿宋" w:hAnsi="仿宋" w:eastAsia="仿宋" w:cs="仿宋"/>
          <w:sz w:val="24"/>
          <w:szCs w:val="24"/>
        </w:rPr>
      </w:pPr>
      <w:bookmarkStart w:id="236" w:name="_Toc152045567"/>
      <w:bookmarkStart w:id="237" w:name="_Toc179632585"/>
      <w:bookmarkStart w:id="238" w:name="_Toc152042343"/>
      <w:bookmarkStart w:id="239" w:name="_Toc247085725"/>
      <w:bookmarkStart w:id="240" w:name="_Toc246996211"/>
      <w:bookmarkStart w:id="241" w:name="_Toc40701000"/>
      <w:bookmarkStart w:id="242" w:name="_Toc144974535"/>
      <w:bookmarkStart w:id="243" w:name="_Toc246996954"/>
      <w:r>
        <w:rPr>
          <w:rFonts w:hint="eastAsia" w:ascii="仿宋" w:hAnsi="仿宋" w:eastAsia="仿宋" w:cs="仿宋"/>
          <w:sz w:val="24"/>
          <w:szCs w:val="24"/>
        </w:rPr>
        <w:t>6.1 中选方式</w:t>
      </w:r>
      <w:bookmarkEnd w:id="236"/>
      <w:bookmarkEnd w:id="237"/>
      <w:bookmarkEnd w:id="238"/>
      <w:bookmarkEnd w:id="239"/>
      <w:bookmarkEnd w:id="240"/>
      <w:bookmarkEnd w:id="241"/>
      <w:bookmarkEnd w:id="242"/>
      <w:bookmarkEnd w:id="243"/>
    </w:p>
    <w:p w14:paraId="754430C0">
      <w:pPr>
        <w:spacing w:line="560" w:lineRule="exact"/>
        <w:ind w:firstLine="480" w:firstLineChars="200"/>
        <w:rPr>
          <w:rFonts w:ascii="仿宋" w:hAnsi="仿宋" w:eastAsia="仿宋" w:cs="仿宋"/>
          <w:sz w:val="24"/>
          <w:szCs w:val="24"/>
        </w:rPr>
      </w:pPr>
      <w:bookmarkStart w:id="244" w:name="_Toc40701001"/>
      <w:r>
        <w:rPr>
          <w:rFonts w:hint="eastAsia" w:ascii="仿宋" w:hAnsi="仿宋" w:eastAsia="仿宋" w:cs="仿宋"/>
          <w:sz w:val="24"/>
          <w:szCs w:val="24"/>
        </w:rPr>
        <w:t>6.1.1 采购人依据公司物资采购实施细则评审要求进行评审，评审小组列出推荐候选人排名表。</w:t>
      </w:r>
    </w:p>
    <w:p w14:paraId="0F02816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6.1.2 按照评审管理办法对候选人排名表进行评审，确定中选供应商。</w:t>
      </w:r>
    </w:p>
    <w:p w14:paraId="7F1AF023">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6.2 成交候选人公示</w:t>
      </w:r>
      <w:bookmarkEnd w:id="244"/>
      <w:r>
        <w:rPr>
          <w:rFonts w:hint="eastAsia" w:ascii="仿宋" w:hAnsi="仿宋" w:eastAsia="仿宋" w:cs="仿宋"/>
          <w:b w:val="0"/>
          <w:bCs/>
          <w:sz w:val="24"/>
          <w:szCs w:val="24"/>
        </w:rPr>
        <w:t>（本条不适用）</w:t>
      </w:r>
    </w:p>
    <w:p w14:paraId="28C640D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采购人在询价采购公告规定的媒介公示成交候选人。</w:t>
      </w:r>
    </w:p>
    <w:p w14:paraId="541FC9D9">
      <w:pPr>
        <w:pStyle w:val="3"/>
        <w:spacing w:before="0" w:after="0" w:line="560" w:lineRule="exact"/>
        <w:ind w:firstLine="482" w:firstLineChars="200"/>
        <w:rPr>
          <w:rFonts w:ascii="仿宋" w:hAnsi="仿宋" w:eastAsia="仿宋" w:cs="仿宋"/>
          <w:sz w:val="24"/>
          <w:szCs w:val="24"/>
        </w:rPr>
      </w:pPr>
      <w:bookmarkStart w:id="245" w:name="_Toc144974536"/>
      <w:bookmarkStart w:id="246" w:name="_Toc246996955"/>
      <w:bookmarkStart w:id="247" w:name="_Toc246996212"/>
      <w:bookmarkStart w:id="248" w:name="_Toc152045568"/>
      <w:bookmarkStart w:id="249" w:name="_Toc179632586"/>
      <w:bookmarkStart w:id="250" w:name="_Toc247085726"/>
      <w:bookmarkStart w:id="251" w:name="_Toc152042344"/>
      <w:bookmarkStart w:id="252" w:name="_Toc40701002"/>
      <w:r>
        <w:rPr>
          <w:rFonts w:hint="eastAsia" w:ascii="仿宋" w:hAnsi="仿宋" w:eastAsia="仿宋" w:cs="仿宋"/>
          <w:sz w:val="24"/>
          <w:szCs w:val="24"/>
        </w:rPr>
        <w:t>6.3 成交通知</w:t>
      </w:r>
      <w:bookmarkEnd w:id="245"/>
      <w:bookmarkEnd w:id="246"/>
      <w:bookmarkEnd w:id="247"/>
      <w:bookmarkEnd w:id="248"/>
      <w:bookmarkEnd w:id="249"/>
      <w:bookmarkEnd w:id="250"/>
      <w:bookmarkEnd w:id="251"/>
      <w:bookmarkEnd w:id="252"/>
    </w:p>
    <w:p w14:paraId="48A22095">
      <w:pPr>
        <w:spacing w:line="560" w:lineRule="exact"/>
        <w:ind w:firstLine="480" w:firstLineChars="200"/>
        <w:rPr>
          <w:rFonts w:ascii="仿宋" w:hAnsi="仿宋" w:eastAsia="仿宋" w:cs="仿宋"/>
          <w:sz w:val="24"/>
          <w:szCs w:val="24"/>
          <w:highlight w:val="yellow"/>
        </w:rPr>
      </w:pPr>
      <w:r>
        <w:rPr>
          <w:rFonts w:hint="eastAsia" w:ascii="仿宋" w:hAnsi="仿宋" w:eastAsia="仿宋" w:cs="仿宋"/>
          <w:sz w:val="24"/>
          <w:szCs w:val="24"/>
        </w:rPr>
        <w:t>在响应有效期内，采购人从各供应商中选择成交方后，平台发布成交公告，确认成交方。同时将成交结果通知未成交的供应商。</w:t>
      </w:r>
    </w:p>
    <w:p w14:paraId="3741FF17">
      <w:pPr>
        <w:pStyle w:val="3"/>
        <w:spacing w:before="0" w:after="0" w:line="560" w:lineRule="exact"/>
        <w:ind w:firstLine="482" w:firstLineChars="200"/>
        <w:rPr>
          <w:rFonts w:ascii="仿宋" w:hAnsi="仿宋" w:eastAsia="仿宋" w:cs="仿宋"/>
          <w:sz w:val="24"/>
          <w:szCs w:val="24"/>
        </w:rPr>
      </w:pPr>
      <w:bookmarkStart w:id="253" w:name="_Toc144974538"/>
      <w:bookmarkStart w:id="254" w:name="_Toc179632588"/>
      <w:bookmarkStart w:id="255" w:name="_Toc40701004"/>
      <w:bookmarkStart w:id="256" w:name="_Toc246996214"/>
      <w:bookmarkStart w:id="257" w:name="_Toc247085728"/>
      <w:bookmarkStart w:id="258" w:name="_Toc246996957"/>
      <w:bookmarkStart w:id="259" w:name="_Toc152042346"/>
      <w:bookmarkStart w:id="260" w:name="_Toc152045570"/>
      <w:r>
        <w:rPr>
          <w:rFonts w:hint="eastAsia" w:ascii="仿宋" w:hAnsi="仿宋" w:eastAsia="仿宋" w:cs="仿宋"/>
          <w:sz w:val="24"/>
          <w:szCs w:val="24"/>
        </w:rPr>
        <w:t>6.4 签订</w:t>
      </w:r>
      <w:bookmarkEnd w:id="253"/>
      <w:bookmarkEnd w:id="254"/>
      <w:bookmarkEnd w:id="255"/>
      <w:bookmarkEnd w:id="256"/>
      <w:bookmarkEnd w:id="257"/>
      <w:bookmarkEnd w:id="258"/>
      <w:bookmarkEnd w:id="259"/>
      <w:bookmarkEnd w:id="260"/>
      <w:r>
        <w:rPr>
          <w:rFonts w:hint="eastAsia" w:ascii="仿宋" w:hAnsi="仿宋" w:eastAsia="仿宋" w:cs="仿宋"/>
          <w:sz w:val="24"/>
          <w:szCs w:val="24"/>
        </w:rPr>
        <w:t>协议</w:t>
      </w:r>
    </w:p>
    <w:p w14:paraId="74D71C79">
      <w:pPr>
        <w:spacing w:line="560" w:lineRule="exact"/>
        <w:ind w:firstLine="480" w:firstLineChars="200"/>
        <w:rPr>
          <w:rFonts w:ascii="仿宋" w:hAnsi="仿宋" w:eastAsia="仿宋" w:cs="仿宋"/>
          <w:sz w:val="24"/>
          <w:szCs w:val="24"/>
        </w:rPr>
      </w:pPr>
      <w:bookmarkStart w:id="261" w:name="_Toc40701005"/>
      <w:r>
        <w:rPr>
          <w:rFonts w:hint="eastAsia" w:ascii="仿宋" w:hAnsi="仿宋" w:eastAsia="仿宋" w:cs="仿宋"/>
          <w:sz w:val="24"/>
          <w:szCs w:val="24"/>
        </w:rPr>
        <w:t>6.4.1 自中选通知书发出之日起5天内，双方订立书面协议。中选供应商无正当理由拒签的，采购人有权取消其中选资格，其报价保证金不予退还；给采购人造成的损失超过询价保证金数额的，中选供应商还应当对超过部分予以赔偿。</w:t>
      </w:r>
    </w:p>
    <w:p w14:paraId="4E6B3D6C">
      <w:pPr>
        <w:pStyle w:val="3"/>
        <w:spacing w:before="0" w:after="0" w:line="560" w:lineRule="exact"/>
        <w:rPr>
          <w:rFonts w:ascii="仿宋" w:hAnsi="仿宋" w:eastAsia="仿宋" w:cs="仿宋"/>
          <w:sz w:val="30"/>
          <w:szCs w:val="30"/>
        </w:rPr>
      </w:pPr>
      <w:r>
        <w:rPr>
          <w:rFonts w:hint="eastAsia" w:ascii="黑体" w:hAnsi="黑体" w:cs="黑体"/>
          <w:b w:val="0"/>
          <w:bCs/>
          <w:sz w:val="24"/>
          <w:szCs w:val="24"/>
        </w:rPr>
        <w:t>7. 纪律和监督</w:t>
      </w:r>
      <w:bookmarkEnd w:id="261"/>
    </w:p>
    <w:p w14:paraId="5A978E74">
      <w:pPr>
        <w:pStyle w:val="3"/>
        <w:spacing w:before="0" w:after="0" w:line="560" w:lineRule="exact"/>
        <w:ind w:firstLine="482" w:firstLineChars="200"/>
        <w:rPr>
          <w:rFonts w:ascii="仿宋" w:hAnsi="仿宋" w:eastAsia="仿宋" w:cs="仿宋"/>
          <w:sz w:val="30"/>
          <w:szCs w:val="30"/>
        </w:rPr>
      </w:pPr>
      <w:bookmarkStart w:id="262" w:name="_Toc40701006"/>
      <w:bookmarkStart w:id="263" w:name="_Toc296590983"/>
      <w:bookmarkStart w:id="264" w:name="_Toc247085733"/>
      <w:bookmarkStart w:id="265" w:name="_Toc179632593"/>
      <w:bookmarkStart w:id="266" w:name="_Toc144974543"/>
      <w:bookmarkStart w:id="267" w:name="_Toc246996962"/>
      <w:bookmarkStart w:id="268" w:name="_Toc152045575"/>
      <w:bookmarkStart w:id="269" w:name="_Toc152042351"/>
      <w:bookmarkStart w:id="270" w:name="_Toc246996219"/>
      <w:r>
        <w:rPr>
          <w:rFonts w:hint="eastAsia" w:ascii="仿宋" w:hAnsi="仿宋" w:eastAsia="仿宋" w:cs="仿宋"/>
          <w:sz w:val="24"/>
          <w:szCs w:val="24"/>
        </w:rPr>
        <w:t>7.1 对采购人的纪律要求</w:t>
      </w:r>
      <w:bookmarkEnd w:id="262"/>
      <w:bookmarkEnd w:id="263"/>
      <w:bookmarkEnd w:id="264"/>
      <w:bookmarkEnd w:id="265"/>
      <w:bookmarkEnd w:id="266"/>
      <w:bookmarkEnd w:id="267"/>
      <w:bookmarkEnd w:id="268"/>
      <w:bookmarkEnd w:id="269"/>
      <w:bookmarkEnd w:id="270"/>
    </w:p>
    <w:p w14:paraId="2248EC03">
      <w:pPr>
        <w:spacing w:line="560" w:lineRule="exact"/>
        <w:ind w:firstLine="480" w:firstLineChars="200"/>
        <w:rPr>
          <w:rFonts w:ascii="仿宋" w:hAnsi="仿宋" w:eastAsia="仿宋" w:cs="仿宋"/>
          <w:sz w:val="24"/>
          <w:szCs w:val="24"/>
        </w:rPr>
      </w:pPr>
      <w:bookmarkStart w:id="271" w:name="_Toc152042352"/>
      <w:bookmarkStart w:id="272" w:name="_Toc246996963"/>
      <w:bookmarkStart w:id="273" w:name="_Toc247085734"/>
      <w:bookmarkStart w:id="274" w:name="_Toc179632594"/>
      <w:bookmarkStart w:id="275" w:name="_Toc246996220"/>
      <w:bookmarkStart w:id="276" w:name="_Toc40701007"/>
      <w:bookmarkStart w:id="277" w:name="_Toc152045576"/>
      <w:bookmarkStart w:id="278" w:name="_Toc144974544"/>
      <w:r>
        <w:rPr>
          <w:rFonts w:hint="eastAsia" w:ascii="仿宋" w:hAnsi="仿宋" w:eastAsia="仿宋" w:cs="仿宋"/>
          <w:sz w:val="24"/>
          <w:szCs w:val="24"/>
        </w:rPr>
        <w:t>采购人不得泄漏采购活动中应当保密的情况和资料，不得与供应商串通损害国家利益、社会公共利益、使用人的利益或者他人合法权益。</w:t>
      </w:r>
    </w:p>
    <w:p w14:paraId="47BD1749">
      <w:pPr>
        <w:pStyle w:val="3"/>
        <w:spacing w:before="0" w:after="0" w:line="560" w:lineRule="exact"/>
        <w:ind w:firstLine="482" w:firstLineChars="200"/>
        <w:rPr>
          <w:rFonts w:ascii="仿宋" w:hAnsi="仿宋" w:eastAsia="仿宋" w:cs="仿宋"/>
          <w:sz w:val="30"/>
          <w:szCs w:val="30"/>
        </w:rPr>
      </w:pPr>
      <w:r>
        <w:rPr>
          <w:rFonts w:hint="eastAsia" w:ascii="仿宋" w:hAnsi="仿宋" w:eastAsia="仿宋" w:cs="仿宋"/>
          <w:sz w:val="24"/>
          <w:szCs w:val="24"/>
        </w:rPr>
        <w:t>7.2 对供应商的纪律要求</w:t>
      </w:r>
      <w:bookmarkEnd w:id="271"/>
      <w:bookmarkEnd w:id="272"/>
      <w:bookmarkEnd w:id="273"/>
      <w:bookmarkEnd w:id="274"/>
      <w:bookmarkEnd w:id="275"/>
      <w:bookmarkEnd w:id="276"/>
      <w:bookmarkEnd w:id="277"/>
      <w:bookmarkEnd w:id="278"/>
    </w:p>
    <w:p w14:paraId="2B759ED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供应商不得相互串通或者与采购人串通，不得向采购人或者评审小组成员行贿谋取中成交，不得以他人名义报价或者以其他方式弄虚作假骗取成交；供应商不得以任何方式干扰、影响评审工作。</w:t>
      </w:r>
    </w:p>
    <w:p w14:paraId="1A15C4A0">
      <w:pPr>
        <w:pStyle w:val="3"/>
        <w:spacing w:before="0" w:after="0" w:line="560" w:lineRule="exact"/>
        <w:ind w:firstLine="482" w:firstLineChars="200"/>
        <w:rPr>
          <w:rFonts w:ascii="仿宋" w:hAnsi="仿宋" w:eastAsia="仿宋" w:cs="仿宋"/>
          <w:sz w:val="30"/>
          <w:szCs w:val="30"/>
        </w:rPr>
      </w:pPr>
      <w:bookmarkStart w:id="279" w:name="_Toc152045577"/>
      <w:bookmarkStart w:id="280" w:name="_Toc246996964"/>
      <w:bookmarkStart w:id="281" w:name="_Toc152042353"/>
      <w:bookmarkStart w:id="282" w:name="_Toc179632595"/>
      <w:bookmarkStart w:id="283" w:name="_Toc144974545"/>
      <w:bookmarkStart w:id="284" w:name="_Toc247085735"/>
      <w:bookmarkStart w:id="285" w:name="_Toc246996221"/>
      <w:bookmarkStart w:id="286" w:name="_Toc40701008"/>
      <w:r>
        <w:rPr>
          <w:rFonts w:hint="eastAsia" w:ascii="仿宋" w:hAnsi="仿宋" w:eastAsia="仿宋" w:cs="仿宋"/>
          <w:sz w:val="24"/>
          <w:szCs w:val="24"/>
        </w:rPr>
        <w:t>7.3 对评审小组成员的纪律要求</w:t>
      </w:r>
      <w:bookmarkEnd w:id="279"/>
      <w:bookmarkEnd w:id="280"/>
      <w:bookmarkEnd w:id="281"/>
      <w:bookmarkEnd w:id="282"/>
      <w:bookmarkEnd w:id="283"/>
      <w:bookmarkEnd w:id="284"/>
      <w:bookmarkEnd w:id="285"/>
      <w:bookmarkEnd w:id="286"/>
    </w:p>
    <w:p w14:paraId="0158E34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评审小组成员不得收受他人的财物或者其他好处，不得向他人透漏对响应文件的评审和比较、成交候选人的推荐情况以及评审有关的其他情况。在评审活动中，评审小组成员应当客观、公正地履行职责，遵守职业道德，不得擅离职守，影响评审程序正常进行，不得使用第三章“评审办法”没有规定的评审因素和标准进行评审。</w:t>
      </w:r>
    </w:p>
    <w:p w14:paraId="398348CB">
      <w:pPr>
        <w:pStyle w:val="3"/>
        <w:spacing w:before="0" w:after="0" w:line="560" w:lineRule="exact"/>
        <w:ind w:firstLine="482" w:firstLineChars="200"/>
        <w:rPr>
          <w:rFonts w:ascii="仿宋" w:hAnsi="仿宋" w:eastAsia="仿宋" w:cs="仿宋"/>
          <w:sz w:val="24"/>
          <w:szCs w:val="24"/>
        </w:rPr>
      </w:pPr>
      <w:bookmarkStart w:id="287" w:name="_Toc179632596"/>
      <w:bookmarkStart w:id="288" w:name="_Toc246996222"/>
      <w:bookmarkStart w:id="289" w:name="_Toc40701009"/>
      <w:bookmarkStart w:id="290" w:name="_Toc152042354"/>
      <w:bookmarkStart w:id="291" w:name="_Toc247085736"/>
      <w:bookmarkStart w:id="292" w:name="_Toc152045578"/>
      <w:bookmarkStart w:id="293" w:name="_Toc246996965"/>
      <w:bookmarkStart w:id="294" w:name="_Toc144974546"/>
      <w:r>
        <w:rPr>
          <w:rFonts w:hint="eastAsia" w:ascii="仿宋" w:hAnsi="仿宋" w:eastAsia="仿宋" w:cs="仿宋"/>
          <w:sz w:val="24"/>
          <w:szCs w:val="24"/>
        </w:rPr>
        <w:t>7.4 对与评审活动有关工作人员的纪律要求</w:t>
      </w:r>
      <w:bookmarkEnd w:id="287"/>
      <w:bookmarkEnd w:id="288"/>
      <w:bookmarkEnd w:id="289"/>
      <w:bookmarkEnd w:id="290"/>
      <w:bookmarkEnd w:id="291"/>
      <w:bookmarkEnd w:id="292"/>
      <w:bookmarkEnd w:id="293"/>
    </w:p>
    <w:p w14:paraId="3578B2D7">
      <w:pPr>
        <w:spacing w:line="560" w:lineRule="exact"/>
        <w:ind w:firstLine="480" w:firstLineChars="200"/>
        <w:rPr>
          <w:rFonts w:ascii="仿宋" w:hAnsi="仿宋" w:eastAsia="仿宋" w:cs="仿宋"/>
          <w:sz w:val="24"/>
          <w:szCs w:val="24"/>
        </w:rPr>
      </w:pPr>
      <w:bookmarkStart w:id="295" w:name="_Toc152042355"/>
      <w:r>
        <w:rPr>
          <w:rFonts w:hint="eastAsia" w:ascii="仿宋" w:hAnsi="仿宋" w:eastAsia="仿宋" w:cs="仿宋"/>
          <w:sz w:val="24"/>
          <w:szCs w:val="24"/>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bookmarkEnd w:id="295"/>
    </w:p>
    <w:p w14:paraId="5512597A">
      <w:pPr>
        <w:pStyle w:val="3"/>
        <w:spacing w:before="0" w:after="0" w:line="560" w:lineRule="exact"/>
        <w:ind w:firstLine="482" w:firstLineChars="200"/>
        <w:rPr>
          <w:rFonts w:ascii="仿宋" w:hAnsi="仿宋" w:eastAsia="仿宋" w:cs="仿宋"/>
          <w:sz w:val="24"/>
          <w:szCs w:val="24"/>
        </w:rPr>
      </w:pPr>
      <w:bookmarkStart w:id="296" w:name="_Toc246996966"/>
      <w:bookmarkStart w:id="297" w:name="_Toc247085737"/>
      <w:bookmarkStart w:id="298" w:name="_Toc179632597"/>
      <w:bookmarkStart w:id="299" w:name="_Toc152045579"/>
      <w:bookmarkStart w:id="300" w:name="_Toc246996223"/>
      <w:bookmarkStart w:id="301" w:name="_Toc152042356"/>
      <w:bookmarkStart w:id="302" w:name="_Toc40701010"/>
      <w:r>
        <w:rPr>
          <w:rFonts w:hint="eastAsia" w:ascii="仿宋" w:hAnsi="仿宋" w:eastAsia="仿宋" w:cs="仿宋"/>
          <w:sz w:val="24"/>
          <w:szCs w:val="24"/>
        </w:rPr>
        <w:t>7.5 投诉</w:t>
      </w:r>
      <w:bookmarkEnd w:id="294"/>
      <w:bookmarkEnd w:id="296"/>
      <w:bookmarkEnd w:id="297"/>
      <w:bookmarkEnd w:id="298"/>
      <w:bookmarkEnd w:id="299"/>
      <w:bookmarkEnd w:id="300"/>
      <w:bookmarkEnd w:id="301"/>
      <w:bookmarkEnd w:id="302"/>
    </w:p>
    <w:p w14:paraId="1F807A7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供应商和其他利害关系人认为本次采购活动违反法律、法规和规章规定的，有权向有关行政监督部门投诉。</w:t>
      </w:r>
    </w:p>
    <w:p w14:paraId="7CE6F72D">
      <w:pPr>
        <w:pStyle w:val="3"/>
        <w:spacing w:before="0" w:after="0" w:line="560" w:lineRule="exact"/>
        <w:rPr>
          <w:rFonts w:ascii="仿宋" w:hAnsi="仿宋" w:eastAsia="仿宋" w:cs="仿宋"/>
          <w:sz w:val="30"/>
          <w:szCs w:val="30"/>
        </w:rPr>
      </w:pPr>
      <w:bookmarkStart w:id="303" w:name="_Toc247085738"/>
      <w:bookmarkStart w:id="304" w:name="_Toc144974547"/>
      <w:bookmarkStart w:id="305" w:name="_Toc152042357"/>
      <w:bookmarkStart w:id="306" w:name="_Toc40701011"/>
      <w:bookmarkStart w:id="307" w:name="_Toc246996224"/>
      <w:bookmarkStart w:id="308" w:name="_Toc246996967"/>
      <w:bookmarkStart w:id="309" w:name="_Toc152045580"/>
      <w:bookmarkStart w:id="310" w:name="_Toc179632598"/>
      <w:r>
        <w:rPr>
          <w:rFonts w:hint="eastAsia" w:ascii="黑体" w:hAnsi="黑体" w:cs="黑体"/>
          <w:b w:val="0"/>
          <w:bCs/>
          <w:sz w:val="24"/>
          <w:szCs w:val="24"/>
        </w:rPr>
        <w:t>8. 需要补充的其他内容</w:t>
      </w:r>
      <w:bookmarkEnd w:id="303"/>
      <w:bookmarkEnd w:id="304"/>
      <w:bookmarkEnd w:id="305"/>
      <w:bookmarkEnd w:id="306"/>
      <w:bookmarkEnd w:id="307"/>
      <w:bookmarkEnd w:id="308"/>
      <w:bookmarkEnd w:id="309"/>
      <w:bookmarkEnd w:id="310"/>
    </w:p>
    <w:p w14:paraId="44C8B124">
      <w:pPr>
        <w:spacing w:line="560" w:lineRule="exact"/>
        <w:ind w:firstLine="480" w:firstLineChars="200"/>
        <w:rPr>
          <w:rFonts w:ascii="仿宋" w:hAnsi="仿宋" w:eastAsia="仿宋" w:cs="仿宋"/>
          <w:b/>
          <w:sz w:val="32"/>
          <w:szCs w:val="32"/>
        </w:rPr>
      </w:pPr>
      <w:r>
        <w:rPr>
          <w:rFonts w:hint="eastAsia" w:ascii="仿宋" w:hAnsi="仿宋" w:eastAsia="仿宋" w:cs="仿宋"/>
          <w:sz w:val="24"/>
          <w:szCs w:val="24"/>
        </w:rPr>
        <w:t>需要补充的其他内容：见供应商须知前附表。</w:t>
      </w:r>
    </w:p>
    <w:p w14:paraId="76791C85">
      <w:pPr>
        <w:rPr>
          <w:rFonts w:ascii="仿宋" w:hAnsi="仿宋" w:eastAsia="仿宋" w:cs="仿宋"/>
          <w:b/>
          <w:bCs/>
          <w:sz w:val="32"/>
          <w:szCs w:val="32"/>
        </w:rPr>
      </w:pPr>
      <w:r>
        <w:rPr>
          <w:rFonts w:hint="eastAsia" w:ascii="仿宋" w:hAnsi="仿宋" w:eastAsia="仿宋" w:cs="仿宋"/>
          <w:b/>
          <w:bCs/>
          <w:sz w:val="32"/>
          <w:szCs w:val="32"/>
        </w:rPr>
        <w:br w:type="page"/>
      </w:r>
    </w:p>
    <w:p w14:paraId="2DAA0D44">
      <w:pPr>
        <w:rPr>
          <w:rFonts w:ascii="宋体" w:hAnsi="宋体" w:cs="宋体"/>
          <w:sz w:val="28"/>
          <w:szCs w:val="28"/>
        </w:rPr>
      </w:pPr>
      <w:r>
        <w:rPr>
          <w:rFonts w:hint="eastAsia" w:ascii="仿宋" w:hAnsi="仿宋" w:eastAsia="仿宋" w:cs="仿宋"/>
          <w:sz w:val="28"/>
          <w:szCs w:val="28"/>
        </w:rPr>
        <w:t>附件1：</w:t>
      </w:r>
    </w:p>
    <w:p w14:paraId="4862C071">
      <w:pPr>
        <w:spacing w:line="440" w:lineRule="exact"/>
        <w:jc w:val="center"/>
        <w:rPr>
          <w:rFonts w:ascii="宋体" w:hAnsi="宋体"/>
          <w:szCs w:val="21"/>
        </w:rPr>
      </w:pPr>
    </w:p>
    <w:p w14:paraId="0BB19F57">
      <w:pPr>
        <w:spacing w:line="440" w:lineRule="exact"/>
        <w:jc w:val="center"/>
        <w:rPr>
          <w:rFonts w:ascii="宋体" w:hAnsi="宋体"/>
          <w:sz w:val="32"/>
          <w:szCs w:val="32"/>
        </w:rPr>
      </w:pPr>
      <w:r>
        <w:rPr>
          <w:rFonts w:hint="eastAsia" w:ascii="黑体" w:hAnsi="黑体" w:eastAsia="黑体" w:cs="黑体"/>
          <w:sz w:val="32"/>
          <w:szCs w:val="32"/>
        </w:rPr>
        <w:t>问题澄清通知</w:t>
      </w:r>
    </w:p>
    <w:p w14:paraId="59B071E0">
      <w:pPr>
        <w:spacing w:line="440" w:lineRule="exact"/>
        <w:jc w:val="center"/>
        <w:rPr>
          <w:rFonts w:ascii="宋体" w:hAnsi="宋体"/>
          <w:sz w:val="28"/>
          <w:szCs w:val="28"/>
        </w:rPr>
      </w:pPr>
    </w:p>
    <w:p w14:paraId="769ABA87">
      <w:pPr>
        <w:spacing w:line="440" w:lineRule="exact"/>
        <w:rPr>
          <w:rFonts w:ascii="宋体" w:hAnsi="宋体"/>
          <w:sz w:val="24"/>
          <w:szCs w:val="24"/>
        </w:rPr>
      </w:pPr>
      <w:r>
        <w:rPr>
          <w:rFonts w:ascii="宋体" w:hAnsi="宋体"/>
          <w:szCs w:val="21"/>
        </w:rPr>
        <w:t xml:space="preserve">                               </w:t>
      </w:r>
      <w:r>
        <w:rPr>
          <w:rFonts w:hint="eastAsia" w:ascii="宋体" w:hAnsi="宋体"/>
          <w:sz w:val="28"/>
          <w:szCs w:val="28"/>
        </w:rPr>
        <w:t xml:space="preserve">                       </w:t>
      </w:r>
      <w:r>
        <w:rPr>
          <w:rFonts w:hint="eastAsia" w:ascii="宋体" w:hAnsi="宋体"/>
          <w:sz w:val="24"/>
          <w:szCs w:val="24"/>
        </w:rPr>
        <w:t xml:space="preserve"> </w:t>
      </w:r>
      <w:r>
        <w:rPr>
          <w:rFonts w:ascii="宋体" w:hAnsi="宋体"/>
          <w:sz w:val="24"/>
          <w:szCs w:val="24"/>
        </w:rPr>
        <w:t>编号：</w:t>
      </w:r>
    </w:p>
    <w:p w14:paraId="7D143267">
      <w:pPr>
        <w:spacing w:line="440" w:lineRule="exact"/>
        <w:rPr>
          <w:rFonts w:ascii="宋体" w:hAnsi="宋体"/>
          <w:sz w:val="28"/>
          <w:szCs w:val="28"/>
        </w:rPr>
      </w:pPr>
    </w:p>
    <w:p w14:paraId="14F055AE">
      <w:pPr>
        <w:spacing w:line="440" w:lineRule="exact"/>
        <w:rPr>
          <w:rFonts w:ascii="仿宋" w:hAnsi="仿宋" w:eastAsia="仿宋" w:cs="仿宋"/>
          <w:sz w:val="28"/>
          <w:szCs w:val="28"/>
        </w:rPr>
      </w:pPr>
      <w:r>
        <w:rPr>
          <w:rFonts w:ascii="宋体" w:hAnsi="宋体"/>
          <w:sz w:val="28"/>
          <w:szCs w:val="28"/>
        </w:rPr>
        <w:t xml:space="preserve"> </w:t>
      </w:r>
      <w:r>
        <w:rPr>
          <w:rFonts w:hint="eastAsia" w:ascii="仿宋" w:hAnsi="仿宋" w:eastAsia="仿宋" w:cs="仿宋"/>
          <w:b/>
          <w:bCs/>
          <w:sz w:val="28"/>
          <w:szCs w:val="28"/>
        </w:rPr>
        <w:t xml:space="preserve">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（供应商名称）：</w:t>
      </w:r>
    </w:p>
    <w:p w14:paraId="16C0E831">
      <w:pPr>
        <w:spacing w:line="360" w:lineRule="auto"/>
        <w:rPr>
          <w:rFonts w:ascii="仿宋" w:hAnsi="仿宋" w:eastAsia="仿宋" w:cs="仿宋"/>
          <w:sz w:val="28"/>
          <w:szCs w:val="28"/>
        </w:rPr>
      </w:pPr>
    </w:p>
    <w:p w14:paraId="21654EA1">
      <w:pPr>
        <w:spacing w:line="360" w:lineRule="auto"/>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（项目名称）采购的评审小组，对你方的响应文件进行了仔细的审查，现需你方对下列问题以电子邮件形式予以澄清：</w:t>
      </w:r>
    </w:p>
    <w:p w14:paraId="3BA0D05D">
      <w:pPr>
        <w:spacing w:line="360" w:lineRule="auto"/>
        <w:rPr>
          <w:rFonts w:ascii="仿宋" w:hAnsi="仿宋" w:eastAsia="仿宋" w:cs="仿宋"/>
          <w:sz w:val="28"/>
          <w:szCs w:val="28"/>
        </w:rPr>
      </w:pPr>
      <w:r>
        <w:rPr>
          <w:rFonts w:hint="eastAsia" w:ascii="仿宋" w:hAnsi="仿宋" w:eastAsia="仿宋" w:cs="仿宋"/>
          <w:sz w:val="28"/>
          <w:szCs w:val="28"/>
        </w:rPr>
        <w:t>　　</w:t>
      </w:r>
    </w:p>
    <w:p w14:paraId="14DD63CF">
      <w:pPr>
        <w:spacing w:line="360" w:lineRule="auto"/>
        <w:rPr>
          <w:rFonts w:ascii="仿宋" w:hAnsi="仿宋" w:eastAsia="仿宋" w:cs="仿宋"/>
          <w:sz w:val="28"/>
          <w:szCs w:val="28"/>
        </w:rPr>
      </w:pPr>
      <w:r>
        <w:rPr>
          <w:rFonts w:hint="eastAsia" w:ascii="仿宋" w:hAnsi="仿宋" w:eastAsia="仿宋" w:cs="仿宋"/>
          <w:sz w:val="28"/>
          <w:szCs w:val="28"/>
        </w:rPr>
        <w:t xml:space="preserve">    1.</w:t>
      </w:r>
    </w:p>
    <w:p w14:paraId="47C4BD9E">
      <w:pPr>
        <w:spacing w:line="360" w:lineRule="auto"/>
        <w:rPr>
          <w:rFonts w:ascii="仿宋" w:hAnsi="仿宋" w:eastAsia="仿宋" w:cs="仿宋"/>
          <w:sz w:val="28"/>
          <w:szCs w:val="28"/>
        </w:rPr>
      </w:pPr>
      <w:r>
        <w:rPr>
          <w:rFonts w:hint="eastAsia" w:ascii="仿宋" w:hAnsi="仿宋" w:eastAsia="仿宋" w:cs="仿宋"/>
          <w:sz w:val="28"/>
          <w:szCs w:val="28"/>
        </w:rPr>
        <w:t xml:space="preserve">    2.</w:t>
      </w:r>
    </w:p>
    <w:p w14:paraId="00738FF0">
      <w:pPr>
        <w:spacing w:line="360" w:lineRule="auto"/>
        <w:rPr>
          <w:rFonts w:ascii="仿宋" w:hAnsi="仿宋" w:eastAsia="仿宋" w:cs="仿宋"/>
          <w:sz w:val="28"/>
          <w:szCs w:val="28"/>
        </w:rPr>
      </w:pPr>
      <w:r>
        <w:rPr>
          <w:rFonts w:hint="eastAsia" w:ascii="仿宋" w:hAnsi="仿宋" w:eastAsia="仿宋" w:cs="仿宋"/>
          <w:sz w:val="28"/>
          <w:szCs w:val="28"/>
        </w:rPr>
        <w:t xml:space="preserve">     ......   </w:t>
      </w:r>
    </w:p>
    <w:p w14:paraId="753EF011">
      <w:pPr>
        <w:spacing w:line="360" w:lineRule="auto"/>
        <w:rPr>
          <w:rFonts w:ascii="仿宋" w:hAnsi="仿宋" w:eastAsia="仿宋" w:cs="仿宋"/>
          <w:sz w:val="28"/>
          <w:szCs w:val="28"/>
        </w:rPr>
      </w:pPr>
      <w:r>
        <w:rPr>
          <w:rFonts w:hint="eastAsia" w:ascii="仿宋" w:hAnsi="仿宋" w:eastAsia="仿宋" w:cs="仿宋"/>
          <w:sz w:val="28"/>
          <w:szCs w:val="28"/>
        </w:rPr>
        <w:t>　　　</w:t>
      </w:r>
    </w:p>
    <w:p w14:paraId="0285ED4A">
      <w:pPr>
        <w:spacing w:line="360" w:lineRule="auto"/>
        <w:rPr>
          <w:rFonts w:ascii="仿宋" w:hAnsi="仿宋" w:eastAsia="仿宋" w:cs="仿宋"/>
          <w:sz w:val="28"/>
          <w:szCs w:val="28"/>
        </w:rPr>
      </w:pPr>
      <w:r>
        <w:rPr>
          <w:rFonts w:hint="eastAsia" w:ascii="仿宋" w:hAnsi="仿宋" w:eastAsia="仿宋" w:cs="仿宋"/>
          <w:sz w:val="28"/>
          <w:szCs w:val="28"/>
        </w:rPr>
        <w:t>　　请将上述问题的澄清于</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r>
        <w:rPr>
          <w:rFonts w:hint="eastAsia" w:ascii="仿宋" w:hAnsi="仿宋" w:eastAsia="仿宋" w:cs="仿宋"/>
          <w:sz w:val="28"/>
          <w:szCs w:val="28"/>
          <w:u w:val="single"/>
        </w:rPr>
        <w:t xml:space="preserve">        </w:t>
      </w:r>
      <w:r>
        <w:rPr>
          <w:rFonts w:hint="eastAsia" w:ascii="仿宋" w:hAnsi="仿宋" w:eastAsia="仿宋" w:cs="仿宋"/>
          <w:sz w:val="28"/>
          <w:szCs w:val="28"/>
        </w:rPr>
        <w:t>时前发送至</w:t>
      </w:r>
      <w:r>
        <w:rPr>
          <w:rFonts w:hint="eastAsia" w:ascii="仿宋" w:hAnsi="仿宋" w:eastAsia="仿宋" w:cs="仿宋"/>
          <w:sz w:val="28"/>
          <w:szCs w:val="28"/>
          <w:u w:val="single"/>
        </w:rPr>
        <w:t xml:space="preserve">         </w:t>
      </w:r>
      <w:r>
        <w:rPr>
          <w:rFonts w:hint="eastAsia" w:ascii="仿宋" w:hAnsi="仿宋" w:eastAsia="仿宋" w:cs="仿宋"/>
          <w:sz w:val="28"/>
          <w:szCs w:val="28"/>
        </w:rPr>
        <w:t>邮箱中。</w:t>
      </w:r>
    </w:p>
    <w:p w14:paraId="5034C1B4">
      <w:pPr>
        <w:spacing w:line="360" w:lineRule="auto"/>
        <w:rPr>
          <w:rFonts w:ascii="仿宋" w:hAnsi="仿宋" w:eastAsia="仿宋" w:cs="仿宋"/>
          <w:sz w:val="28"/>
          <w:szCs w:val="28"/>
        </w:rPr>
      </w:pPr>
    </w:p>
    <w:p w14:paraId="593E29A5">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06082912">
      <w:pPr>
        <w:spacing w:line="360" w:lineRule="auto"/>
        <w:jc w:val="center"/>
        <w:rPr>
          <w:rFonts w:ascii="仿宋" w:hAnsi="仿宋" w:eastAsia="仿宋" w:cs="仿宋"/>
          <w:sz w:val="28"/>
          <w:szCs w:val="28"/>
        </w:rPr>
      </w:pPr>
      <w:r>
        <w:rPr>
          <w:rFonts w:hint="eastAsia" w:ascii="仿宋" w:hAnsi="仿宋" w:eastAsia="仿宋" w:cs="仿宋"/>
          <w:sz w:val="28"/>
          <w:szCs w:val="28"/>
        </w:rPr>
        <w:t xml:space="preserve">                     采购人：</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14:paraId="666AFD61">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33656DDF">
      <w:pPr>
        <w:spacing w:line="360" w:lineRule="auto"/>
        <w:ind w:firstLine="4060" w:firstLineChars="1450"/>
        <w:rPr>
          <w:rFonts w:ascii="宋体" w:hAnsi="宋体"/>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年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月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1C398B97">
      <w:pPr>
        <w:spacing w:line="440" w:lineRule="exact"/>
        <w:ind w:firstLine="3045" w:firstLineChars="1450"/>
        <w:rPr>
          <w:rFonts w:ascii="宋体" w:hAnsi="宋体"/>
          <w:szCs w:val="21"/>
        </w:rPr>
      </w:pPr>
    </w:p>
    <w:p w14:paraId="3B2FDBF3">
      <w:pPr>
        <w:rPr>
          <w:rFonts w:ascii="宋体" w:hAnsi="宋体" w:cs="宋体"/>
          <w:b/>
          <w:bCs/>
          <w:sz w:val="32"/>
          <w:szCs w:val="32"/>
        </w:rPr>
      </w:pPr>
      <w:r>
        <w:rPr>
          <w:rFonts w:hint="eastAsia" w:ascii="宋体" w:hAnsi="宋体" w:cs="宋体"/>
          <w:b/>
          <w:bCs/>
          <w:sz w:val="32"/>
          <w:szCs w:val="32"/>
        </w:rPr>
        <w:br w:type="page"/>
      </w:r>
    </w:p>
    <w:p w14:paraId="1BA142E9">
      <w:pPr>
        <w:rPr>
          <w:rFonts w:ascii="仿宋" w:hAnsi="仿宋" w:eastAsia="仿宋" w:cs="仿宋"/>
          <w:sz w:val="28"/>
          <w:szCs w:val="28"/>
        </w:rPr>
      </w:pPr>
      <w:r>
        <w:rPr>
          <w:rFonts w:hint="eastAsia" w:ascii="仿宋" w:hAnsi="仿宋" w:eastAsia="仿宋" w:cs="仿宋"/>
          <w:sz w:val="28"/>
          <w:szCs w:val="28"/>
        </w:rPr>
        <w:t>附件2：</w:t>
      </w:r>
    </w:p>
    <w:p w14:paraId="06ED4A69">
      <w:pPr>
        <w:spacing w:line="400" w:lineRule="exact"/>
        <w:jc w:val="center"/>
        <w:rPr>
          <w:rFonts w:ascii="宋体" w:hAnsi="宋体"/>
          <w:sz w:val="28"/>
          <w:szCs w:val="28"/>
        </w:rPr>
      </w:pPr>
    </w:p>
    <w:p w14:paraId="7BB1F43F">
      <w:pPr>
        <w:spacing w:line="440" w:lineRule="exact"/>
        <w:jc w:val="center"/>
        <w:rPr>
          <w:rFonts w:ascii="黑体" w:hAnsi="黑体" w:eastAsia="黑体" w:cs="黑体"/>
          <w:sz w:val="32"/>
          <w:szCs w:val="32"/>
        </w:rPr>
      </w:pPr>
      <w:r>
        <w:rPr>
          <w:rFonts w:hint="eastAsia" w:ascii="黑体" w:hAnsi="黑体" w:eastAsia="黑体" w:cs="黑体"/>
          <w:sz w:val="32"/>
          <w:szCs w:val="32"/>
        </w:rPr>
        <w:t>问题的澄清</w:t>
      </w:r>
    </w:p>
    <w:p w14:paraId="77F8621B">
      <w:pPr>
        <w:spacing w:line="440" w:lineRule="exact"/>
        <w:jc w:val="center"/>
        <w:rPr>
          <w:rFonts w:ascii="黑体" w:hAnsi="黑体" w:eastAsia="黑体" w:cs="黑体"/>
          <w:sz w:val="32"/>
          <w:szCs w:val="32"/>
        </w:rPr>
      </w:pPr>
    </w:p>
    <w:p w14:paraId="49053C78">
      <w:pPr>
        <w:spacing w:line="440" w:lineRule="exact"/>
        <w:jc w:val="center"/>
        <w:rPr>
          <w:rFonts w:ascii="宋体" w:hAnsi="宋体"/>
        </w:rPr>
      </w:pPr>
      <w:r>
        <w:rPr>
          <w:rFonts w:hint="eastAsia" w:ascii="宋体" w:hAnsi="宋体"/>
          <w:sz w:val="24"/>
          <w:szCs w:val="24"/>
        </w:rPr>
        <w:t xml:space="preserve">                                    编号：</w:t>
      </w:r>
      <w:r>
        <w:rPr>
          <w:rFonts w:hint="eastAsia" w:ascii="宋体" w:hAnsi="宋体"/>
        </w:rPr>
        <w:t xml:space="preserve"> </w:t>
      </w:r>
    </w:p>
    <w:p w14:paraId="391FADCA">
      <w:pPr>
        <w:spacing w:line="440" w:lineRule="exact"/>
        <w:rPr>
          <w:rFonts w:ascii="仿宋" w:hAnsi="仿宋" w:eastAsia="仿宋" w:cs="仿宋"/>
          <w:sz w:val="28"/>
          <w:szCs w:val="28"/>
          <w:u w:val="single"/>
        </w:rPr>
      </w:pPr>
    </w:p>
    <w:p w14:paraId="01E533AC">
      <w:pPr>
        <w:spacing w:line="360" w:lineRule="auto"/>
        <w:rPr>
          <w:rFonts w:ascii="仿宋" w:hAnsi="仿宋" w:eastAsia="仿宋" w:cs="仿宋"/>
          <w:b/>
          <w:bCs/>
          <w:sz w:val="28"/>
          <w:szCs w:val="28"/>
        </w:rPr>
      </w:pP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（项目名称）采购评审小组：</w:t>
      </w:r>
    </w:p>
    <w:p w14:paraId="035AC633">
      <w:pPr>
        <w:spacing w:line="360" w:lineRule="auto"/>
        <w:rPr>
          <w:rFonts w:ascii="仿宋" w:hAnsi="仿宋" w:eastAsia="仿宋" w:cs="仿宋"/>
          <w:sz w:val="28"/>
          <w:szCs w:val="28"/>
        </w:rPr>
      </w:pPr>
    </w:p>
    <w:p w14:paraId="1F61E50D">
      <w:pPr>
        <w:spacing w:line="360" w:lineRule="auto"/>
        <w:rPr>
          <w:rFonts w:ascii="仿宋" w:hAnsi="仿宋" w:eastAsia="仿宋" w:cs="仿宋"/>
          <w:sz w:val="28"/>
          <w:szCs w:val="28"/>
        </w:rPr>
      </w:pPr>
      <w:r>
        <w:rPr>
          <w:rFonts w:hint="eastAsia" w:ascii="仿宋" w:hAnsi="仿宋" w:eastAsia="仿宋" w:cs="仿宋"/>
          <w:sz w:val="28"/>
          <w:szCs w:val="28"/>
        </w:rPr>
        <w:t>　　问题澄清通知（编号：</w:t>
      </w:r>
      <w:r>
        <w:rPr>
          <w:rFonts w:hint="eastAsia" w:ascii="仿宋" w:hAnsi="仿宋" w:eastAsia="仿宋" w:cs="仿宋"/>
          <w:sz w:val="28"/>
          <w:szCs w:val="28"/>
          <w:u w:val="single"/>
        </w:rPr>
        <w:t xml:space="preserve">            </w:t>
      </w:r>
      <w:r>
        <w:rPr>
          <w:rFonts w:hint="eastAsia" w:ascii="仿宋" w:hAnsi="仿宋" w:eastAsia="仿宋" w:cs="仿宋"/>
          <w:sz w:val="28"/>
          <w:szCs w:val="28"/>
        </w:rPr>
        <w:t>）已收悉，现澄清如下：</w:t>
      </w:r>
    </w:p>
    <w:p w14:paraId="61FE1223">
      <w:pPr>
        <w:spacing w:line="360" w:lineRule="auto"/>
        <w:rPr>
          <w:rFonts w:ascii="仿宋" w:hAnsi="仿宋" w:eastAsia="仿宋" w:cs="仿宋"/>
          <w:sz w:val="28"/>
          <w:szCs w:val="28"/>
        </w:rPr>
      </w:pPr>
      <w:r>
        <w:rPr>
          <w:rFonts w:hint="eastAsia" w:ascii="仿宋" w:hAnsi="仿宋" w:eastAsia="仿宋" w:cs="仿宋"/>
          <w:sz w:val="28"/>
          <w:szCs w:val="28"/>
        </w:rPr>
        <w:t>　  1.</w:t>
      </w:r>
    </w:p>
    <w:p w14:paraId="2125CBEB">
      <w:pPr>
        <w:spacing w:line="360" w:lineRule="auto"/>
        <w:rPr>
          <w:rFonts w:ascii="仿宋" w:hAnsi="仿宋" w:eastAsia="仿宋" w:cs="仿宋"/>
          <w:sz w:val="28"/>
          <w:szCs w:val="28"/>
        </w:rPr>
      </w:pPr>
      <w:r>
        <w:rPr>
          <w:rFonts w:hint="eastAsia" w:ascii="仿宋" w:hAnsi="仿宋" w:eastAsia="仿宋" w:cs="仿宋"/>
          <w:sz w:val="28"/>
          <w:szCs w:val="28"/>
        </w:rPr>
        <w:t>　  2.</w:t>
      </w:r>
    </w:p>
    <w:p w14:paraId="264DC335">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733C63AA">
      <w:pPr>
        <w:spacing w:line="360" w:lineRule="auto"/>
        <w:rPr>
          <w:rFonts w:ascii="仿宋" w:hAnsi="仿宋" w:eastAsia="仿宋" w:cs="仿宋"/>
          <w:sz w:val="28"/>
          <w:szCs w:val="28"/>
        </w:rPr>
      </w:pPr>
      <w:r>
        <w:rPr>
          <w:rFonts w:hint="eastAsia" w:ascii="仿宋" w:hAnsi="仿宋" w:eastAsia="仿宋" w:cs="仿宋"/>
          <w:sz w:val="28"/>
          <w:szCs w:val="28"/>
        </w:rPr>
        <w:t>　  .....</w:t>
      </w:r>
    </w:p>
    <w:p w14:paraId="14924D8F">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3816337C">
      <w:pPr>
        <w:spacing w:line="360" w:lineRule="auto"/>
        <w:rPr>
          <w:rFonts w:ascii="仿宋" w:hAnsi="仿宋" w:eastAsia="仿宋" w:cs="仿宋"/>
          <w:sz w:val="28"/>
          <w:szCs w:val="28"/>
        </w:rPr>
      </w:pPr>
      <w:r>
        <w:rPr>
          <w:rFonts w:hint="eastAsia" w:ascii="仿宋" w:hAnsi="仿宋" w:eastAsia="仿宋" w:cs="仿宋"/>
          <w:sz w:val="28"/>
          <w:szCs w:val="28"/>
        </w:rPr>
        <w:t>　</w:t>
      </w:r>
    </w:p>
    <w:p w14:paraId="48A8829B">
      <w:pPr>
        <w:spacing w:line="360" w:lineRule="auto"/>
        <w:rPr>
          <w:rFonts w:ascii="仿宋" w:hAnsi="仿宋" w:eastAsia="仿宋" w:cs="仿宋"/>
          <w:sz w:val="28"/>
          <w:szCs w:val="28"/>
        </w:rPr>
      </w:pPr>
      <w:r>
        <w:rPr>
          <w:rFonts w:hint="eastAsia" w:ascii="仿宋" w:hAnsi="仿宋" w:eastAsia="仿宋" w:cs="仿宋"/>
          <w:sz w:val="28"/>
          <w:szCs w:val="28"/>
        </w:rPr>
        <w:t>　　　　　　　　　　　　　供应商：</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14:paraId="0D25F9A5">
      <w:pPr>
        <w:spacing w:line="360" w:lineRule="auto"/>
        <w:rPr>
          <w:rFonts w:ascii="仿宋" w:hAnsi="仿宋" w:eastAsia="仿宋" w:cs="仿宋"/>
          <w:sz w:val="28"/>
          <w:szCs w:val="28"/>
        </w:rPr>
      </w:pPr>
      <w:r>
        <w:rPr>
          <w:rFonts w:hint="eastAsia" w:ascii="仿宋" w:hAnsi="仿宋" w:eastAsia="仿宋" w:cs="仿宋"/>
          <w:sz w:val="28"/>
          <w:szCs w:val="28"/>
        </w:rPr>
        <w:t>　　　　　　　　　　　　　　　</w:t>
      </w:r>
    </w:p>
    <w:p w14:paraId="0C604323">
      <w:pPr>
        <w:spacing w:line="360" w:lineRule="auto"/>
        <w:rPr>
          <w:rFonts w:ascii="仿宋" w:hAnsi="仿宋" w:eastAsia="仿宋" w:cs="仿宋"/>
          <w:sz w:val="28"/>
          <w:szCs w:val="28"/>
        </w:rPr>
      </w:pPr>
      <w:r>
        <w:rPr>
          <w:rFonts w:hint="eastAsia" w:ascii="仿宋" w:hAnsi="仿宋" w:eastAsia="仿宋" w:cs="仿宋"/>
          <w:sz w:val="28"/>
          <w:szCs w:val="28"/>
        </w:rPr>
        <w:t>　　　　　　　　　　　　　法定代表人或委托代理人：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（签字）</w:t>
      </w:r>
    </w:p>
    <w:p w14:paraId="548CCC4E">
      <w:pPr>
        <w:spacing w:line="360" w:lineRule="auto"/>
        <w:rPr>
          <w:rFonts w:ascii="仿宋" w:hAnsi="仿宋" w:eastAsia="仿宋" w:cs="仿宋"/>
          <w:sz w:val="28"/>
          <w:szCs w:val="28"/>
        </w:rPr>
      </w:pPr>
      <w:r>
        <w:rPr>
          <w:rFonts w:hint="eastAsia" w:ascii="仿宋" w:hAnsi="仿宋" w:eastAsia="仿宋" w:cs="仿宋"/>
          <w:sz w:val="28"/>
          <w:szCs w:val="28"/>
        </w:rPr>
        <w:t>　　　　　　　　　　　　　　　</w:t>
      </w:r>
    </w:p>
    <w:p w14:paraId="307E7C68">
      <w:pPr>
        <w:spacing w:line="440" w:lineRule="exact"/>
        <w:rPr>
          <w:rFonts w:ascii="宋体" w:hAnsi="宋体"/>
          <w:szCs w:val="21"/>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年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月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34875B95">
      <w:pPr>
        <w:rPr>
          <w:rFonts w:ascii="仿宋" w:hAnsi="仿宋" w:eastAsia="仿宋" w:cs="仿宋"/>
          <w:sz w:val="28"/>
          <w:szCs w:val="28"/>
        </w:rPr>
      </w:pPr>
    </w:p>
    <w:p w14:paraId="62D6ADE3">
      <w:pPr>
        <w:rPr>
          <w:rFonts w:ascii="宋体" w:hAnsi="宋体" w:cs="宋体"/>
          <w:b/>
          <w:bCs/>
          <w:sz w:val="32"/>
          <w:szCs w:val="32"/>
        </w:rPr>
      </w:pPr>
      <w:r>
        <w:rPr>
          <w:rFonts w:hint="eastAsia" w:ascii="宋体" w:hAnsi="宋体"/>
        </w:rPr>
        <w:br w:type="page"/>
      </w:r>
    </w:p>
    <w:p w14:paraId="279AC6A3">
      <w:pPr>
        <w:spacing w:line="360" w:lineRule="auto"/>
        <w:jc w:val="center"/>
        <w:rPr>
          <w:rFonts w:ascii="宋体" w:hAnsi="宋体"/>
          <w:b/>
          <w:bCs/>
          <w:sz w:val="36"/>
          <w:szCs w:val="36"/>
        </w:rPr>
        <w:sectPr>
          <w:footerReference r:id="rId5" w:type="first"/>
          <w:headerReference r:id="rId3" w:type="default"/>
          <w:footerReference r:id="rId4" w:type="default"/>
          <w:type w:val="continuous"/>
          <w:pgSz w:w="11906" w:h="16838"/>
          <w:pgMar w:top="1304" w:right="1191" w:bottom="1304" w:left="1191" w:header="851" w:footer="992" w:gutter="0"/>
          <w:pgNumType w:start="1"/>
          <w:cols w:space="720" w:num="1"/>
          <w:titlePg/>
          <w:docGrid w:type="lines" w:linePitch="312" w:charSpace="0"/>
        </w:sectPr>
      </w:pPr>
    </w:p>
    <w:p w14:paraId="46BD6B46">
      <w:pPr>
        <w:pStyle w:val="2"/>
        <w:spacing w:after="158" w:afterLines="50" w:line="560" w:lineRule="exact"/>
        <w:jc w:val="center"/>
        <w:rPr>
          <w:rFonts w:ascii="仿宋" w:hAnsi="仿宋" w:eastAsia="仿宋" w:cs="仿宋"/>
          <w:bCs/>
          <w:sz w:val="28"/>
          <w:szCs w:val="28"/>
        </w:rPr>
      </w:pPr>
      <w:r>
        <w:rPr>
          <w:rFonts w:hint="eastAsia" w:ascii="黑体" w:hAnsi="黑体" w:eastAsia="黑体" w:cs="黑体"/>
          <w:b w:val="0"/>
          <w:bCs/>
          <w:sz w:val="30"/>
          <w:szCs w:val="30"/>
          <w:lang w:val="en-US"/>
        </w:rPr>
        <w:t xml:space="preserve">第三章  </w:t>
      </w:r>
      <w:r>
        <w:rPr>
          <w:rFonts w:hint="eastAsia" w:ascii="黑体" w:hAnsi="黑体" w:eastAsia="黑体" w:cs="黑体"/>
          <w:b w:val="0"/>
          <w:bCs/>
          <w:sz w:val="30"/>
          <w:szCs w:val="30"/>
        </w:rPr>
        <w:t>评审办法</w:t>
      </w:r>
      <w:r>
        <w:rPr>
          <w:rFonts w:hint="eastAsia" w:ascii="仿宋" w:hAnsi="仿宋" w:eastAsia="仿宋" w:cs="仿宋"/>
          <w:b w:val="0"/>
          <w:bCs/>
          <w:sz w:val="28"/>
          <w:szCs w:val="28"/>
        </w:rPr>
        <w:t>（</w:t>
      </w:r>
      <w:r>
        <w:rPr>
          <w:rFonts w:hint="eastAsia" w:ascii="仿宋" w:hAnsi="仿宋" w:eastAsia="仿宋" w:cs="仿宋"/>
          <w:b w:val="0"/>
          <w:bCs/>
          <w:sz w:val="28"/>
          <w:szCs w:val="28"/>
          <w:lang w:val="en-US"/>
        </w:rPr>
        <w:t>综合</w:t>
      </w:r>
      <w:r>
        <w:rPr>
          <w:rFonts w:hint="eastAsia" w:ascii="仿宋" w:hAnsi="仿宋" w:eastAsia="仿宋" w:cs="仿宋"/>
          <w:b w:val="0"/>
          <w:bCs/>
          <w:sz w:val="28"/>
          <w:szCs w:val="28"/>
        </w:rPr>
        <w:t>评审标准）</w:t>
      </w:r>
    </w:p>
    <w:tbl>
      <w:tblPr>
        <w:tblStyle w:val="23"/>
        <w:tblpPr w:leftFromText="180" w:rightFromText="180" w:vertAnchor="text" w:horzAnchor="page" w:tblpX="899" w:tblpY="470"/>
        <w:tblOverlap w:val="never"/>
        <w:tblW w:w="15134" w:type="dxa"/>
        <w:tblInd w:w="0" w:type="dxa"/>
        <w:tblLayout w:type="fixed"/>
        <w:tblCellMar>
          <w:top w:w="0" w:type="dxa"/>
          <w:left w:w="108" w:type="dxa"/>
          <w:bottom w:w="0" w:type="dxa"/>
          <w:right w:w="108" w:type="dxa"/>
        </w:tblCellMar>
      </w:tblPr>
      <w:tblGrid>
        <w:gridCol w:w="675"/>
        <w:gridCol w:w="3119"/>
        <w:gridCol w:w="5"/>
        <w:gridCol w:w="9071"/>
        <w:gridCol w:w="705"/>
        <w:gridCol w:w="708"/>
        <w:gridCol w:w="851"/>
      </w:tblGrid>
      <w:tr w14:paraId="45FA710D">
        <w:tblPrEx>
          <w:tblCellMar>
            <w:top w:w="0" w:type="dxa"/>
            <w:left w:w="108" w:type="dxa"/>
            <w:bottom w:w="0" w:type="dxa"/>
            <w:right w:w="108" w:type="dxa"/>
          </w:tblCellMar>
        </w:tblPrEx>
        <w:trPr>
          <w:trHeight w:val="41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B5AEF9E">
            <w:pPr>
              <w:jc w:val="center"/>
              <w:rPr>
                <w:rFonts w:ascii="仿宋" w:hAnsi="仿宋" w:eastAsia="仿宋" w:cs="仿宋"/>
                <w:szCs w:val="21"/>
              </w:rPr>
            </w:pPr>
            <w:r>
              <w:rPr>
                <w:rFonts w:hint="eastAsia" w:ascii="仿宋" w:hAnsi="仿宋" w:eastAsia="仿宋" w:cs="仿宋"/>
                <w:szCs w:val="21"/>
              </w:rPr>
              <w:t>序号</w:t>
            </w:r>
          </w:p>
        </w:tc>
        <w:tc>
          <w:tcPr>
            <w:tcW w:w="3119" w:type="dxa"/>
            <w:tcBorders>
              <w:top w:val="single" w:color="auto" w:sz="4" w:space="0"/>
              <w:left w:val="nil"/>
              <w:bottom w:val="single" w:color="auto" w:sz="4" w:space="0"/>
              <w:right w:val="single" w:color="auto" w:sz="4" w:space="0"/>
            </w:tcBorders>
            <w:shd w:val="clear" w:color="auto" w:fill="auto"/>
            <w:vAlign w:val="center"/>
          </w:tcPr>
          <w:p w14:paraId="358D2BE4">
            <w:pPr>
              <w:jc w:val="center"/>
              <w:rPr>
                <w:rFonts w:ascii="仿宋" w:hAnsi="仿宋" w:eastAsia="仿宋" w:cs="仿宋"/>
                <w:szCs w:val="21"/>
              </w:rPr>
            </w:pPr>
            <w:r>
              <w:rPr>
                <w:rFonts w:hint="eastAsia" w:ascii="仿宋" w:hAnsi="仿宋" w:eastAsia="仿宋" w:cs="仿宋"/>
                <w:szCs w:val="21"/>
              </w:rPr>
              <w:t>项目</w:t>
            </w:r>
          </w:p>
        </w:tc>
        <w:tc>
          <w:tcPr>
            <w:tcW w:w="9076" w:type="dxa"/>
            <w:gridSpan w:val="2"/>
            <w:tcBorders>
              <w:top w:val="single" w:color="auto" w:sz="4" w:space="0"/>
              <w:left w:val="nil"/>
              <w:bottom w:val="single" w:color="auto" w:sz="4" w:space="0"/>
              <w:right w:val="single" w:color="auto" w:sz="4" w:space="0"/>
            </w:tcBorders>
            <w:shd w:val="clear" w:color="auto" w:fill="auto"/>
            <w:vAlign w:val="center"/>
          </w:tcPr>
          <w:p w14:paraId="6F351088">
            <w:pPr>
              <w:jc w:val="center"/>
              <w:rPr>
                <w:rFonts w:ascii="仿宋" w:hAnsi="仿宋" w:eastAsia="仿宋" w:cs="仿宋"/>
                <w:szCs w:val="21"/>
              </w:rPr>
            </w:pPr>
            <w:r>
              <w:rPr>
                <w:rFonts w:hint="eastAsia" w:ascii="仿宋" w:hAnsi="仿宋" w:eastAsia="仿宋" w:cs="仿宋"/>
                <w:szCs w:val="21"/>
              </w:rPr>
              <w:t>评分内容</w:t>
            </w:r>
          </w:p>
        </w:tc>
        <w:tc>
          <w:tcPr>
            <w:tcW w:w="705" w:type="dxa"/>
            <w:tcBorders>
              <w:top w:val="single" w:color="auto" w:sz="4" w:space="0"/>
              <w:left w:val="nil"/>
              <w:bottom w:val="single" w:color="auto" w:sz="4" w:space="0"/>
              <w:right w:val="single" w:color="auto" w:sz="4" w:space="0"/>
            </w:tcBorders>
            <w:shd w:val="clear" w:color="auto" w:fill="auto"/>
            <w:vAlign w:val="center"/>
          </w:tcPr>
          <w:p w14:paraId="7A6C8F26">
            <w:pPr>
              <w:jc w:val="center"/>
              <w:rPr>
                <w:rFonts w:ascii="仿宋" w:hAnsi="仿宋" w:eastAsia="仿宋" w:cs="仿宋"/>
                <w:szCs w:val="21"/>
              </w:rPr>
            </w:pPr>
            <w:r>
              <w:rPr>
                <w:rFonts w:hint="eastAsia" w:ascii="仿宋" w:hAnsi="仿宋" w:eastAsia="仿宋" w:cs="仿宋"/>
                <w:szCs w:val="21"/>
              </w:rPr>
              <w:t>标准分值</w:t>
            </w:r>
          </w:p>
        </w:tc>
        <w:tc>
          <w:tcPr>
            <w:tcW w:w="708" w:type="dxa"/>
            <w:tcBorders>
              <w:top w:val="single" w:color="auto" w:sz="4" w:space="0"/>
              <w:left w:val="nil"/>
              <w:bottom w:val="single" w:color="auto" w:sz="4" w:space="0"/>
              <w:right w:val="single" w:color="auto" w:sz="4" w:space="0"/>
            </w:tcBorders>
            <w:shd w:val="clear" w:color="auto" w:fill="auto"/>
            <w:vAlign w:val="center"/>
          </w:tcPr>
          <w:p w14:paraId="3FF3232C">
            <w:pPr>
              <w:jc w:val="center"/>
              <w:rPr>
                <w:rFonts w:ascii="仿宋" w:hAnsi="仿宋" w:eastAsia="仿宋" w:cs="仿宋"/>
                <w:szCs w:val="21"/>
              </w:rPr>
            </w:pPr>
            <w:r>
              <w:rPr>
                <w:rFonts w:hint="eastAsia" w:ascii="仿宋" w:hAnsi="仿宋" w:eastAsia="仿宋" w:cs="仿宋"/>
                <w:szCs w:val="21"/>
              </w:rPr>
              <w:t>得分</w:t>
            </w:r>
          </w:p>
        </w:tc>
        <w:tc>
          <w:tcPr>
            <w:tcW w:w="851" w:type="dxa"/>
            <w:tcBorders>
              <w:top w:val="single" w:color="auto" w:sz="4" w:space="0"/>
              <w:left w:val="nil"/>
              <w:bottom w:val="single" w:color="auto" w:sz="4" w:space="0"/>
              <w:right w:val="single" w:color="auto" w:sz="4" w:space="0"/>
            </w:tcBorders>
            <w:shd w:val="clear" w:color="auto" w:fill="auto"/>
            <w:vAlign w:val="center"/>
          </w:tcPr>
          <w:p w14:paraId="0F42418C">
            <w:pPr>
              <w:jc w:val="center"/>
              <w:rPr>
                <w:rFonts w:ascii="仿宋" w:hAnsi="仿宋" w:eastAsia="仿宋" w:cs="仿宋"/>
                <w:szCs w:val="21"/>
              </w:rPr>
            </w:pPr>
            <w:r>
              <w:rPr>
                <w:rFonts w:hint="eastAsia" w:ascii="仿宋" w:hAnsi="仿宋" w:eastAsia="仿宋" w:cs="仿宋"/>
                <w:szCs w:val="21"/>
              </w:rPr>
              <w:t>备注</w:t>
            </w:r>
          </w:p>
        </w:tc>
      </w:tr>
      <w:tr w14:paraId="1B408685">
        <w:tblPrEx>
          <w:tblCellMar>
            <w:top w:w="0" w:type="dxa"/>
            <w:left w:w="108" w:type="dxa"/>
            <w:bottom w:w="0" w:type="dxa"/>
            <w:right w:w="108" w:type="dxa"/>
          </w:tblCellMar>
        </w:tblPrEx>
        <w:trPr>
          <w:trHeight w:val="481" w:hRule="atLeast"/>
        </w:trPr>
        <w:tc>
          <w:tcPr>
            <w:tcW w:w="37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43590E9">
            <w:pPr>
              <w:rPr>
                <w:rFonts w:ascii="仿宋" w:hAnsi="仿宋" w:eastAsia="仿宋" w:cs="仿宋"/>
                <w:b/>
                <w:bCs/>
                <w:szCs w:val="21"/>
              </w:rPr>
            </w:pPr>
            <w:r>
              <w:rPr>
                <w:rFonts w:hint="eastAsia" w:ascii="仿宋" w:hAnsi="仿宋" w:eastAsia="仿宋" w:cs="仿宋"/>
                <w:b/>
                <w:bCs/>
                <w:szCs w:val="21"/>
              </w:rPr>
              <w:t>一、商务部分（</w:t>
            </w:r>
            <w:r>
              <w:rPr>
                <w:rFonts w:ascii="仿宋" w:hAnsi="仿宋" w:eastAsia="仿宋" w:cs="仿宋"/>
                <w:b/>
                <w:bCs/>
                <w:szCs w:val="21"/>
              </w:rPr>
              <w:t>4</w:t>
            </w:r>
            <w:r>
              <w:rPr>
                <w:rFonts w:hint="eastAsia" w:ascii="仿宋" w:hAnsi="仿宋" w:eastAsia="仿宋" w:cs="仿宋"/>
                <w:b/>
                <w:bCs/>
                <w:szCs w:val="21"/>
              </w:rPr>
              <w:t>0分）</w:t>
            </w:r>
          </w:p>
        </w:tc>
        <w:tc>
          <w:tcPr>
            <w:tcW w:w="9071" w:type="dxa"/>
            <w:tcBorders>
              <w:top w:val="single" w:color="auto" w:sz="4" w:space="0"/>
              <w:left w:val="single" w:color="auto" w:sz="4" w:space="0"/>
              <w:bottom w:val="single" w:color="auto" w:sz="4" w:space="0"/>
              <w:right w:val="single" w:color="auto" w:sz="4" w:space="0"/>
            </w:tcBorders>
            <w:shd w:val="clear" w:color="auto" w:fill="auto"/>
            <w:vAlign w:val="center"/>
          </w:tcPr>
          <w:p w14:paraId="6919153C">
            <w:pPr>
              <w:rPr>
                <w:rFonts w:hint="eastAsia" w:ascii="仿宋" w:hAnsi="仿宋" w:eastAsia="仿宋" w:cs="仿宋"/>
                <w:b/>
                <w:bCs/>
                <w:szCs w:val="21"/>
              </w:rPr>
            </w:pPr>
          </w:p>
        </w:tc>
        <w:tc>
          <w:tcPr>
            <w:tcW w:w="705" w:type="dxa"/>
            <w:tcBorders>
              <w:top w:val="single" w:color="auto" w:sz="4" w:space="0"/>
              <w:left w:val="single" w:color="auto" w:sz="4" w:space="0"/>
              <w:bottom w:val="single" w:color="auto" w:sz="4" w:space="0"/>
              <w:right w:val="single" w:color="000000" w:sz="4" w:space="0"/>
            </w:tcBorders>
            <w:shd w:val="clear" w:color="auto" w:fill="auto"/>
            <w:vAlign w:val="center"/>
          </w:tcPr>
          <w:p w14:paraId="67EF9644">
            <w:pPr>
              <w:jc w:val="center"/>
              <w:rPr>
                <w:rFonts w:hint="default" w:ascii="仿宋" w:hAnsi="仿宋" w:eastAsia="仿宋" w:cs="仿宋"/>
                <w:b/>
                <w:bCs/>
                <w:szCs w:val="21"/>
                <w:lang w:val="en-US" w:eastAsia="zh-CN"/>
              </w:rPr>
            </w:pPr>
            <w:r>
              <w:rPr>
                <w:rFonts w:hint="eastAsia" w:ascii="仿宋" w:hAnsi="仿宋" w:eastAsia="仿宋" w:cs="仿宋"/>
                <w:b/>
                <w:bCs/>
                <w:szCs w:val="21"/>
                <w:lang w:val="en-US" w:eastAsia="zh-CN"/>
              </w:rPr>
              <w:t>40</w:t>
            </w:r>
          </w:p>
        </w:tc>
        <w:tc>
          <w:tcPr>
            <w:tcW w:w="708" w:type="dxa"/>
            <w:tcBorders>
              <w:top w:val="single" w:color="auto" w:sz="4" w:space="0"/>
              <w:left w:val="single" w:color="auto" w:sz="4" w:space="0"/>
              <w:bottom w:val="single" w:color="auto" w:sz="4" w:space="0"/>
              <w:right w:val="single" w:color="000000" w:sz="4" w:space="0"/>
            </w:tcBorders>
            <w:shd w:val="clear" w:color="auto" w:fill="auto"/>
            <w:vAlign w:val="center"/>
          </w:tcPr>
          <w:p w14:paraId="26CA1FA1">
            <w:pPr>
              <w:rPr>
                <w:rFonts w:ascii="仿宋" w:hAnsi="仿宋" w:eastAsia="仿宋" w:cs="仿宋"/>
                <w:b/>
                <w:bCs/>
                <w:szCs w:val="21"/>
              </w:rPr>
            </w:pPr>
          </w:p>
        </w:tc>
        <w:tc>
          <w:tcPr>
            <w:tcW w:w="851" w:type="dxa"/>
            <w:tcBorders>
              <w:top w:val="single" w:color="auto" w:sz="4" w:space="0"/>
              <w:left w:val="single" w:color="auto" w:sz="4" w:space="0"/>
              <w:bottom w:val="single" w:color="auto" w:sz="4" w:space="0"/>
              <w:right w:val="single" w:color="000000" w:sz="4" w:space="0"/>
            </w:tcBorders>
            <w:shd w:val="clear" w:color="auto" w:fill="auto"/>
            <w:vAlign w:val="center"/>
          </w:tcPr>
          <w:p w14:paraId="2D693202">
            <w:pPr>
              <w:rPr>
                <w:rFonts w:ascii="仿宋" w:hAnsi="仿宋" w:eastAsia="仿宋" w:cs="仿宋"/>
                <w:b/>
                <w:bCs/>
                <w:szCs w:val="21"/>
              </w:rPr>
            </w:pPr>
          </w:p>
        </w:tc>
      </w:tr>
      <w:tr w14:paraId="25CD90D8">
        <w:tblPrEx>
          <w:tblCellMar>
            <w:top w:w="0" w:type="dxa"/>
            <w:left w:w="108" w:type="dxa"/>
            <w:bottom w:w="0" w:type="dxa"/>
            <w:right w:w="108" w:type="dxa"/>
          </w:tblCellMar>
        </w:tblPrEx>
        <w:trPr>
          <w:trHeight w:val="80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B4B0951">
            <w:pPr>
              <w:jc w:val="center"/>
              <w:rPr>
                <w:rFonts w:ascii="仿宋" w:hAnsi="仿宋" w:eastAsia="仿宋" w:cs="仿宋"/>
                <w:szCs w:val="21"/>
              </w:rPr>
            </w:pPr>
            <w:r>
              <w:rPr>
                <w:rFonts w:hint="eastAsia" w:ascii="仿宋" w:hAnsi="仿宋" w:eastAsia="仿宋" w:cs="仿宋"/>
                <w:szCs w:val="21"/>
              </w:rPr>
              <w:t>1</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4E4E5160">
            <w:pPr>
              <w:rPr>
                <w:rFonts w:ascii="仿宋" w:hAnsi="仿宋" w:eastAsia="仿宋" w:cs="仿宋"/>
                <w:szCs w:val="21"/>
              </w:rPr>
            </w:pPr>
            <w:r>
              <w:rPr>
                <w:rFonts w:hint="eastAsia" w:ascii="仿宋" w:hAnsi="仿宋" w:eastAsia="仿宋" w:cs="仿宋"/>
                <w:szCs w:val="21"/>
              </w:rPr>
              <w:t>企业业绩（</w:t>
            </w:r>
            <w:r>
              <w:rPr>
                <w:rFonts w:ascii="仿宋" w:hAnsi="仿宋" w:eastAsia="仿宋" w:cs="仿宋"/>
                <w:szCs w:val="21"/>
              </w:rPr>
              <w:t>4</w:t>
            </w:r>
            <w:r>
              <w:rPr>
                <w:rFonts w:hint="eastAsia" w:ascii="仿宋" w:hAnsi="仿宋" w:eastAsia="仿宋" w:cs="仿宋"/>
                <w:szCs w:val="21"/>
              </w:rPr>
              <w:t>分）</w:t>
            </w:r>
          </w:p>
        </w:tc>
        <w:tc>
          <w:tcPr>
            <w:tcW w:w="9076" w:type="dxa"/>
            <w:gridSpan w:val="2"/>
            <w:tcBorders>
              <w:top w:val="nil"/>
              <w:left w:val="single" w:color="auto" w:sz="4" w:space="0"/>
              <w:bottom w:val="single" w:color="auto" w:sz="4" w:space="0"/>
              <w:right w:val="single" w:color="auto" w:sz="4" w:space="0"/>
            </w:tcBorders>
            <w:shd w:val="clear" w:color="auto" w:fill="auto"/>
            <w:vAlign w:val="center"/>
          </w:tcPr>
          <w:p w14:paraId="339BE0A8">
            <w:pPr>
              <w:rPr>
                <w:rFonts w:ascii="仿宋" w:hAnsi="仿宋" w:eastAsia="仿宋" w:cs="仿宋"/>
                <w:szCs w:val="21"/>
              </w:rPr>
            </w:pPr>
            <w:r>
              <w:rPr>
                <w:rFonts w:hint="eastAsia" w:ascii="仿宋" w:hAnsi="仿宋" w:eastAsia="仿宋" w:cs="仿宋"/>
                <w:szCs w:val="21"/>
              </w:rPr>
              <w:t>近</w:t>
            </w:r>
            <w:r>
              <w:rPr>
                <w:rFonts w:hint="eastAsia" w:ascii="仿宋" w:hAnsi="仿宋" w:eastAsia="仿宋" w:cs="仿宋"/>
                <w:szCs w:val="21"/>
                <w:u w:val="single"/>
              </w:rPr>
              <w:t xml:space="preserve"> 2 </w:t>
            </w:r>
            <w:r>
              <w:rPr>
                <w:rFonts w:hint="eastAsia" w:ascii="仿宋" w:hAnsi="仿宋" w:eastAsia="仿宋" w:cs="仿宋"/>
                <w:szCs w:val="21"/>
              </w:rPr>
              <w:t>年签订的合同（扫描件），每</w:t>
            </w:r>
            <w:r>
              <w:rPr>
                <w:rFonts w:hint="eastAsia" w:ascii="仿宋" w:hAnsi="仿宋" w:eastAsia="仿宋" w:cs="仿宋"/>
                <w:szCs w:val="21"/>
                <w:lang w:val="en-US" w:eastAsia="zh-CN"/>
              </w:rPr>
              <w:t>提供</w:t>
            </w:r>
            <w:r>
              <w:rPr>
                <w:rFonts w:hint="eastAsia" w:ascii="仿宋" w:hAnsi="仿宋" w:eastAsia="仿宋" w:cs="仿宋"/>
                <w:szCs w:val="21"/>
              </w:rPr>
              <w:t>1个同类业绩得2分，最高得</w:t>
            </w:r>
            <w:r>
              <w:rPr>
                <w:rFonts w:ascii="仿宋" w:hAnsi="仿宋" w:eastAsia="仿宋" w:cs="仿宋"/>
                <w:szCs w:val="21"/>
              </w:rPr>
              <w:t>4</w:t>
            </w:r>
            <w:r>
              <w:rPr>
                <w:rFonts w:hint="eastAsia" w:ascii="仿宋" w:hAnsi="仿宋" w:eastAsia="仿宋" w:cs="仿宋"/>
                <w:szCs w:val="21"/>
              </w:rPr>
              <w:t>分。 业绩证明材料：需提供合同首页、合同金额页、供货范围页和盖章页。</w:t>
            </w:r>
          </w:p>
        </w:tc>
        <w:tc>
          <w:tcPr>
            <w:tcW w:w="705" w:type="dxa"/>
            <w:tcBorders>
              <w:top w:val="nil"/>
              <w:left w:val="nil"/>
              <w:bottom w:val="single" w:color="auto" w:sz="4" w:space="0"/>
              <w:right w:val="single" w:color="auto" w:sz="4" w:space="0"/>
            </w:tcBorders>
            <w:shd w:val="clear" w:color="auto" w:fill="auto"/>
            <w:vAlign w:val="center"/>
          </w:tcPr>
          <w:p w14:paraId="3AF15714">
            <w:pPr>
              <w:jc w:val="center"/>
              <w:rPr>
                <w:rFonts w:ascii="仿宋" w:hAnsi="仿宋" w:eastAsia="仿宋" w:cs="仿宋"/>
                <w:szCs w:val="21"/>
              </w:rPr>
            </w:pPr>
            <w:r>
              <w:rPr>
                <w:rFonts w:ascii="仿宋" w:hAnsi="仿宋" w:eastAsia="仿宋" w:cs="仿宋"/>
                <w:szCs w:val="21"/>
              </w:rPr>
              <w:t>4</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479A30F9">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4CC2D2C">
            <w:pPr>
              <w:rPr>
                <w:rFonts w:ascii="仿宋" w:hAnsi="仿宋" w:eastAsia="仿宋" w:cs="仿宋"/>
                <w:szCs w:val="21"/>
              </w:rPr>
            </w:pPr>
          </w:p>
        </w:tc>
      </w:tr>
      <w:tr w14:paraId="7AFD0CC0">
        <w:tblPrEx>
          <w:tblCellMar>
            <w:top w:w="0" w:type="dxa"/>
            <w:left w:w="108" w:type="dxa"/>
            <w:bottom w:w="0" w:type="dxa"/>
            <w:right w:w="108" w:type="dxa"/>
          </w:tblCellMar>
        </w:tblPrEx>
        <w:trPr>
          <w:trHeight w:val="754"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CC016E0">
            <w:pPr>
              <w:jc w:val="center"/>
              <w:rPr>
                <w:rFonts w:ascii="仿宋" w:hAnsi="仿宋" w:eastAsia="仿宋" w:cs="仿宋"/>
                <w:szCs w:val="21"/>
              </w:rPr>
            </w:pPr>
            <w:r>
              <w:rPr>
                <w:rFonts w:hint="eastAsia" w:ascii="仿宋" w:hAnsi="仿宋" w:eastAsia="仿宋" w:cs="仿宋"/>
                <w:szCs w:val="21"/>
              </w:rPr>
              <w:t>2</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316EF015">
            <w:pPr>
              <w:rPr>
                <w:rFonts w:ascii="仿宋" w:hAnsi="仿宋" w:eastAsia="仿宋" w:cs="仿宋"/>
                <w:szCs w:val="21"/>
              </w:rPr>
            </w:pPr>
            <w:r>
              <w:rPr>
                <w:rFonts w:hint="eastAsia" w:ascii="仿宋" w:hAnsi="仿宋" w:eastAsia="仿宋" w:cs="仿宋"/>
                <w:szCs w:val="21"/>
              </w:rPr>
              <w:t>营业执照注册资本</w:t>
            </w:r>
            <w:r>
              <w:rPr>
                <w:rFonts w:hint="eastAsia" w:ascii="仿宋" w:hAnsi="仿宋" w:eastAsia="仿宋" w:cs="仿宋"/>
                <w:color w:val="000000"/>
                <w:kern w:val="0"/>
                <w:sz w:val="20"/>
                <w:szCs w:val="21"/>
              </w:rPr>
              <w:t>（4分）</w:t>
            </w:r>
          </w:p>
        </w:tc>
        <w:tc>
          <w:tcPr>
            <w:tcW w:w="9076" w:type="dxa"/>
            <w:gridSpan w:val="2"/>
            <w:tcBorders>
              <w:top w:val="nil"/>
              <w:left w:val="nil"/>
              <w:bottom w:val="single" w:color="auto" w:sz="4" w:space="0"/>
              <w:right w:val="single" w:color="auto" w:sz="4" w:space="0"/>
            </w:tcBorders>
            <w:shd w:val="clear" w:color="auto" w:fill="auto"/>
            <w:vAlign w:val="center"/>
          </w:tcPr>
          <w:p w14:paraId="20303554">
            <w:pPr>
              <w:jc w:val="left"/>
              <w:rPr>
                <w:rFonts w:ascii="仿宋" w:hAnsi="仿宋" w:eastAsia="仿宋" w:cs="仿宋"/>
                <w:color w:val="auto"/>
                <w:szCs w:val="21"/>
                <w:highlight w:val="none"/>
              </w:rPr>
            </w:pPr>
            <w:r>
              <w:rPr>
                <w:rFonts w:hint="eastAsia" w:ascii="仿宋" w:hAnsi="仿宋" w:eastAsia="仿宋" w:cs="仿宋"/>
                <w:color w:val="auto"/>
                <w:szCs w:val="21"/>
                <w:highlight w:val="none"/>
              </w:rPr>
              <w:t>1、</w:t>
            </w:r>
            <w:r>
              <w:rPr>
                <w:rFonts w:hint="eastAsia" w:ascii="仿宋" w:hAnsi="仿宋" w:eastAsia="仿宋" w:cs="仿宋"/>
                <w:color w:val="auto"/>
                <w:szCs w:val="21"/>
                <w:highlight w:val="none"/>
                <w:lang w:val="en-US" w:eastAsia="zh-CN"/>
              </w:rPr>
              <w:t>10</w:t>
            </w:r>
            <w:r>
              <w:rPr>
                <w:rFonts w:hint="eastAsia" w:ascii="仿宋" w:hAnsi="仿宋" w:eastAsia="仿宋" w:cs="仿宋"/>
                <w:color w:val="auto"/>
                <w:szCs w:val="21"/>
                <w:highlight w:val="none"/>
              </w:rPr>
              <w:t>00万</w:t>
            </w:r>
            <w:r>
              <w:rPr>
                <w:rFonts w:hint="eastAsia" w:ascii="仿宋" w:hAnsi="仿宋" w:eastAsia="仿宋" w:cs="仿宋"/>
                <w:color w:val="auto"/>
                <w:szCs w:val="21"/>
                <w:highlight w:val="none"/>
                <w:lang w:val="en-US" w:eastAsia="zh-CN"/>
              </w:rPr>
              <w:t>元</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含</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以上（经销商还应提供有效的品牌经销商授权书）得4分；</w:t>
            </w:r>
          </w:p>
          <w:p w14:paraId="7471C33B">
            <w:pPr>
              <w:jc w:val="left"/>
              <w:rPr>
                <w:rFonts w:hint="eastAsia" w:ascii="仿宋" w:hAnsi="仿宋" w:eastAsia="仿宋" w:cs="仿宋"/>
                <w:szCs w:val="21"/>
                <w:lang w:eastAsia="zh-CN"/>
              </w:rPr>
            </w:pPr>
            <w:r>
              <w:rPr>
                <w:rFonts w:hint="eastAsia" w:ascii="仿宋" w:hAnsi="仿宋" w:eastAsia="仿宋" w:cs="仿宋"/>
                <w:color w:val="auto"/>
                <w:szCs w:val="21"/>
                <w:highlight w:val="none"/>
              </w:rPr>
              <w:t>2、</w:t>
            </w:r>
            <w:r>
              <w:rPr>
                <w:rFonts w:hint="eastAsia" w:ascii="仿宋" w:hAnsi="仿宋" w:eastAsia="仿宋" w:cs="仿宋"/>
                <w:color w:val="auto"/>
                <w:szCs w:val="21"/>
                <w:highlight w:val="none"/>
                <w:lang w:val="en-US" w:eastAsia="zh-CN"/>
              </w:rPr>
              <w:t>500</w:t>
            </w:r>
            <w:r>
              <w:rPr>
                <w:rFonts w:hint="eastAsia" w:ascii="仿宋" w:hAnsi="仿宋" w:eastAsia="仿宋" w:cs="仿宋"/>
                <w:color w:val="auto"/>
                <w:kern w:val="0"/>
                <w:szCs w:val="21"/>
                <w:highlight w:val="none"/>
              </w:rPr>
              <w:t>万</w:t>
            </w: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lang w:val="en-US" w:eastAsia="zh-CN"/>
              </w:rPr>
              <w:t>含</w:t>
            </w: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lang w:val="en-US" w:eastAsia="zh-CN"/>
              </w:rPr>
              <w:t>以上至1000万元</w:t>
            </w:r>
            <w:r>
              <w:rPr>
                <w:rFonts w:hint="eastAsia" w:ascii="仿宋" w:hAnsi="仿宋" w:eastAsia="仿宋" w:cs="仿宋"/>
                <w:color w:val="auto"/>
                <w:szCs w:val="21"/>
                <w:highlight w:val="none"/>
              </w:rPr>
              <w:t>（经销商还应提供有效的品牌经销商授权书）得2分</w:t>
            </w:r>
            <w:r>
              <w:rPr>
                <w:rFonts w:hint="eastAsia" w:ascii="仿宋" w:hAnsi="仿宋" w:eastAsia="仿宋" w:cs="仿宋"/>
                <w:color w:val="auto"/>
                <w:szCs w:val="21"/>
                <w:highlight w:val="none"/>
                <w:lang w:eastAsia="zh-CN"/>
              </w:rPr>
              <w:t>。</w:t>
            </w:r>
          </w:p>
        </w:tc>
        <w:tc>
          <w:tcPr>
            <w:tcW w:w="705" w:type="dxa"/>
            <w:tcBorders>
              <w:top w:val="nil"/>
              <w:left w:val="nil"/>
              <w:bottom w:val="single" w:color="auto" w:sz="4" w:space="0"/>
              <w:right w:val="single" w:color="auto" w:sz="4" w:space="0"/>
            </w:tcBorders>
            <w:shd w:val="clear" w:color="auto" w:fill="auto"/>
            <w:vAlign w:val="center"/>
          </w:tcPr>
          <w:p w14:paraId="07DCDACD">
            <w:pPr>
              <w:jc w:val="center"/>
              <w:rPr>
                <w:rFonts w:ascii="仿宋" w:hAnsi="仿宋" w:eastAsia="仿宋" w:cs="仿宋"/>
                <w:szCs w:val="21"/>
              </w:rPr>
            </w:pPr>
            <w:r>
              <w:rPr>
                <w:rFonts w:hint="eastAsia" w:ascii="仿宋" w:hAnsi="仿宋" w:eastAsia="仿宋" w:cs="仿宋"/>
                <w:szCs w:val="21"/>
              </w:rPr>
              <w:t>4</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1ADDEDA8">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04A39AA">
            <w:pPr>
              <w:rPr>
                <w:rFonts w:ascii="仿宋" w:hAnsi="仿宋" w:eastAsia="仿宋" w:cs="仿宋"/>
                <w:szCs w:val="21"/>
              </w:rPr>
            </w:pPr>
          </w:p>
        </w:tc>
      </w:tr>
      <w:tr w14:paraId="53582F82">
        <w:tblPrEx>
          <w:tblCellMar>
            <w:top w:w="0" w:type="dxa"/>
            <w:left w:w="108" w:type="dxa"/>
            <w:bottom w:w="0" w:type="dxa"/>
            <w:right w:w="108" w:type="dxa"/>
          </w:tblCellMar>
        </w:tblPrEx>
        <w:trPr>
          <w:trHeight w:val="692"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2335D697">
            <w:pPr>
              <w:jc w:val="center"/>
              <w:rPr>
                <w:rFonts w:ascii="仿宋" w:hAnsi="仿宋" w:eastAsia="仿宋" w:cs="仿宋"/>
                <w:szCs w:val="21"/>
              </w:rPr>
            </w:pPr>
            <w:r>
              <w:rPr>
                <w:rFonts w:hint="eastAsia" w:ascii="仿宋" w:hAnsi="仿宋" w:eastAsia="仿宋" w:cs="仿宋"/>
                <w:szCs w:val="21"/>
              </w:rPr>
              <w:t>3</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315C7C1A">
            <w:pPr>
              <w:rPr>
                <w:rFonts w:ascii="仿宋" w:hAnsi="仿宋" w:eastAsia="仿宋" w:cs="仿宋"/>
                <w:szCs w:val="21"/>
              </w:rPr>
            </w:pPr>
            <w:r>
              <w:rPr>
                <w:rFonts w:hint="eastAsia" w:ascii="仿宋" w:hAnsi="仿宋" w:eastAsia="仿宋" w:cs="仿宋"/>
                <w:szCs w:val="21"/>
              </w:rPr>
              <w:t>询价产品，样品证明文件（</w:t>
            </w:r>
            <w:r>
              <w:rPr>
                <w:rFonts w:ascii="仿宋" w:hAnsi="仿宋" w:eastAsia="仿宋" w:cs="仿宋"/>
                <w:szCs w:val="21"/>
              </w:rPr>
              <w:t>6</w:t>
            </w:r>
            <w:r>
              <w:rPr>
                <w:rFonts w:hint="eastAsia" w:ascii="仿宋" w:hAnsi="仿宋" w:eastAsia="仿宋" w:cs="仿宋"/>
                <w:color w:val="000000"/>
                <w:kern w:val="0"/>
                <w:sz w:val="20"/>
                <w:szCs w:val="21"/>
              </w:rPr>
              <w:t>分</w:t>
            </w:r>
            <w:r>
              <w:rPr>
                <w:rFonts w:hint="eastAsia" w:ascii="仿宋" w:hAnsi="仿宋" w:eastAsia="仿宋" w:cs="仿宋"/>
                <w:szCs w:val="21"/>
              </w:rPr>
              <w:t>）</w:t>
            </w:r>
          </w:p>
        </w:tc>
        <w:tc>
          <w:tcPr>
            <w:tcW w:w="9076" w:type="dxa"/>
            <w:gridSpan w:val="2"/>
            <w:tcBorders>
              <w:top w:val="nil"/>
              <w:left w:val="nil"/>
              <w:bottom w:val="single" w:color="auto" w:sz="4" w:space="0"/>
              <w:right w:val="single" w:color="auto" w:sz="4" w:space="0"/>
            </w:tcBorders>
            <w:shd w:val="clear" w:color="auto" w:fill="auto"/>
            <w:vAlign w:val="center"/>
          </w:tcPr>
          <w:p w14:paraId="66AD01FC">
            <w:pPr>
              <w:jc w:val="left"/>
              <w:rPr>
                <w:rFonts w:ascii="仿宋" w:hAnsi="仿宋" w:eastAsia="仿宋" w:cs="仿宋"/>
                <w:szCs w:val="21"/>
              </w:rPr>
            </w:pPr>
            <w:r>
              <w:rPr>
                <w:rFonts w:hint="eastAsia" w:ascii="仿宋" w:hAnsi="仿宋" w:eastAsia="仿宋" w:cs="仿宋"/>
                <w:szCs w:val="21"/>
              </w:rPr>
              <w:t>1、所有产品均提供有效的检测报告、合格证</w:t>
            </w:r>
            <w:r>
              <w:rPr>
                <w:rFonts w:hint="eastAsia" w:ascii="仿宋" w:hAnsi="仿宋" w:eastAsia="仿宋" w:cs="仿宋"/>
                <w:szCs w:val="21"/>
                <w:lang w:eastAsia="zh-CN"/>
              </w:rPr>
              <w:t>、</w:t>
            </w:r>
            <w:r>
              <w:rPr>
                <w:rFonts w:hint="eastAsia" w:ascii="仿宋" w:hAnsi="仿宋" w:eastAsia="仿宋" w:cs="仿宋"/>
                <w:szCs w:val="21"/>
                <w:lang w:val="en-US" w:eastAsia="zh-CN"/>
              </w:rPr>
              <w:t>强制性认证等，</w:t>
            </w:r>
            <w:r>
              <w:rPr>
                <w:rFonts w:hint="eastAsia" w:ascii="仿宋" w:hAnsi="仿宋" w:eastAsia="仿宋" w:cs="仿宋"/>
                <w:szCs w:val="21"/>
              </w:rPr>
              <w:t>得</w:t>
            </w:r>
            <w:r>
              <w:rPr>
                <w:rFonts w:ascii="仿宋" w:hAnsi="仿宋" w:eastAsia="仿宋" w:cs="仿宋"/>
                <w:szCs w:val="21"/>
              </w:rPr>
              <w:t>6</w:t>
            </w:r>
            <w:r>
              <w:rPr>
                <w:rFonts w:hint="eastAsia" w:ascii="仿宋" w:hAnsi="仿宋" w:eastAsia="仿宋" w:cs="仿宋"/>
                <w:szCs w:val="21"/>
              </w:rPr>
              <w:t>分；</w:t>
            </w:r>
          </w:p>
          <w:p w14:paraId="42A6BAE3">
            <w:pPr>
              <w:jc w:val="left"/>
              <w:rPr>
                <w:rFonts w:ascii="仿宋" w:hAnsi="仿宋" w:eastAsia="仿宋" w:cs="仿宋"/>
                <w:szCs w:val="21"/>
              </w:rPr>
            </w:pPr>
            <w:r>
              <w:rPr>
                <w:rFonts w:hint="eastAsia" w:ascii="仿宋" w:hAnsi="仿宋" w:eastAsia="仿宋" w:cs="仿宋"/>
                <w:szCs w:val="21"/>
              </w:rPr>
              <w:t>2、提供资料未完全响应要求，每少提供一样，减2分。</w:t>
            </w:r>
          </w:p>
        </w:tc>
        <w:tc>
          <w:tcPr>
            <w:tcW w:w="705" w:type="dxa"/>
            <w:tcBorders>
              <w:top w:val="nil"/>
              <w:left w:val="nil"/>
              <w:bottom w:val="single" w:color="auto" w:sz="4" w:space="0"/>
              <w:right w:val="single" w:color="auto" w:sz="4" w:space="0"/>
            </w:tcBorders>
            <w:shd w:val="clear" w:color="auto" w:fill="auto"/>
            <w:vAlign w:val="center"/>
          </w:tcPr>
          <w:p w14:paraId="5E06EF09">
            <w:pPr>
              <w:jc w:val="center"/>
              <w:rPr>
                <w:rFonts w:ascii="仿宋" w:hAnsi="仿宋" w:eastAsia="仿宋" w:cs="仿宋"/>
                <w:szCs w:val="21"/>
              </w:rPr>
            </w:pPr>
            <w:r>
              <w:rPr>
                <w:rFonts w:ascii="仿宋" w:hAnsi="仿宋" w:eastAsia="仿宋" w:cs="仿宋"/>
                <w:szCs w:val="21"/>
              </w:rPr>
              <w:t>6</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1326C2E2">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561F0E4">
            <w:pPr>
              <w:rPr>
                <w:rFonts w:ascii="仿宋" w:hAnsi="仿宋" w:eastAsia="仿宋" w:cs="仿宋"/>
                <w:szCs w:val="21"/>
              </w:rPr>
            </w:pPr>
          </w:p>
        </w:tc>
      </w:tr>
      <w:tr w14:paraId="704E1876">
        <w:tblPrEx>
          <w:tblCellMar>
            <w:top w:w="0" w:type="dxa"/>
            <w:left w:w="108" w:type="dxa"/>
            <w:bottom w:w="0" w:type="dxa"/>
            <w:right w:w="108" w:type="dxa"/>
          </w:tblCellMar>
        </w:tblPrEx>
        <w:trPr>
          <w:trHeight w:val="514"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30282F7B">
            <w:pPr>
              <w:jc w:val="center"/>
              <w:rPr>
                <w:rFonts w:ascii="仿宋" w:hAnsi="仿宋" w:eastAsia="仿宋" w:cs="仿宋"/>
                <w:szCs w:val="21"/>
              </w:rPr>
            </w:pPr>
            <w:r>
              <w:rPr>
                <w:rFonts w:hint="eastAsia" w:ascii="仿宋" w:hAnsi="仿宋" w:eastAsia="仿宋" w:cs="仿宋"/>
                <w:szCs w:val="21"/>
              </w:rPr>
              <w:t>4</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69711B98">
            <w:pPr>
              <w:rPr>
                <w:rFonts w:ascii="仿宋" w:hAnsi="仿宋" w:eastAsia="仿宋" w:cs="仿宋"/>
                <w:szCs w:val="21"/>
              </w:rPr>
            </w:pPr>
            <w:r>
              <w:rPr>
                <w:rFonts w:hint="eastAsia" w:ascii="仿宋" w:hAnsi="仿宋" w:eastAsia="仿宋" w:cs="仿宋"/>
                <w:szCs w:val="21"/>
              </w:rPr>
              <w:t>完税情况证明（4分）</w:t>
            </w:r>
          </w:p>
        </w:tc>
        <w:tc>
          <w:tcPr>
            <w:tcW w:w="9076" w:type="dxa"/>
            <w:gridSpan w:val="2"/>
            <w:tcBorders>
              <w:top w:val="nil"/>
              <w:left w:val="nil"/>
              <w:bottom w:val="single" w:color="auto" w:sz="4" w:space="0"/>
              <w:right w:val="single" w:color="auto" w:sz="4" w:space="0"/>
            </w:tcBorders>
            <w:shd w:val="clear" w:color="auto" w:fill="auto"/>
            <w:vAlign w:val="center"/>
          </w:tcPr>
          <w:p w14:paraId="7A6D770E">
            <w:pPr>
              <w:rPr>
                <w:rFonts w:ascii="仿宋" w:hAnsi="仿宋" w:eastAsia="仿宋" w:cs="仿宋"/>
                <w:szCs w:val="21"/>
              </w:rPr>
            </w:pPr>
            <w:r>
              <w:rPr>
                <w:rFonts w:hint="eastAsia" w:ascii="仿宋" w:hAnsi="仿宋" w:eastAsia="仿宋" w:cs="仿宋"/>
                <w:szCs w:val="21"/>
              </w:rPr>
              <w:t>1、提供增值税等主要缴税内容的近半年完税证明，得4分；  2、不提供，得0分。</w:t>
            </w:r>
          </w:p>
        </w:tc>
        <w:tc>
          <w:tcPr>
            <w:tcW w:w="705" w:type="dxa"/>
            <w:tcBorders>
              <w:top w:val="nil"/>
              <w:left w:val="single" w:color="auto" w:sz="4" w:space="0"/>
              <w:bottom w:val="single" w:color="000000" w:sz="4" w:space="0"/>
              <w:right w:val="single" w:color="auto" w:sz="4" w:space="0"/>
            </w:tcBorders>
            <w:shd w:val="clear" w:color="auto" w:fill="auto"/>
            <w:vAlign w:val="center"/>
          </w:tcPr>
          <w:p w14:paraId="0B8F2DD5">
            <w:pPr>
              <w:jc w:val="center"/>
              <w:rPr>
                <w:rFonts w:ascii="仿宋" w:hAnsi="仿宋" w:eastAsia="仿宋" w:cs="仿宋"/>
                <w:szCs w:val="21"/>
              </w:rPr>
            </w:pPr>
            <w:r>
              <w:rPr>
                <w:rFonts w:hint="eastAsia" w:ascii="仿宋" w:hAnsi="仿宋" w:eastAsia="仿宋" w:cs="仿宋"/>
                <w:szCs w:val="21"/>
              </w:rPr>
              <w:t>4</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76652C93">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4FFA527">
            <w:pPr>
              <w:rPr>
                <w:rFonts w:ascii="仿宋" w:hAnsi="仿宋" w:eastAsia="仿宋" w:cs="仿宋"/>
                <w:szCs w:val="21"/>
              </w:rPr>
            </w:pPr>
          </w:p>
        </w:tc>
      </w:tr>
      <w:tr w14:paraId="2B0161E1">
        <w:tblPrEx>
          <w:tblCellMar>
            <w:top w:w="0" w:type="dxa"/>
            <w:left w:w="108" w:type="dxa"/>
            <w:bottom w:w="0" w:type="dxa"/>
            <w:right w:w="108" w:type="dxa"/>
          </w:tblCellMar>
        </w:tblPrEx>
        <w:trPr>
          <w:trHeight w:val="445"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0DEB14F">
            <w:pPr>
              <w:jc w:val="center"/>
              <w:rPr>
                <w:rFonts w:ascii="仿宋" w:hAnsi="仿宋" w:eastAsia="仿宋" w:cs="仿宋"/>
                <w:szCs w:val="21"/>
              </w:rPr>
            </w:pPr>
            <w:r>
              <w:rPr>
                <w:rFonts w:hint="eastAsia" w:ascii="仿宋" w:hAnsi="仿宋" w:eastAsia="仿宋" w:cs="仿宋"/>
                <w:szCs w:val="21"/>
              </w:rPr>
              <w:t>5</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317F8743">
            <w:pPr>
              <w:rPr>
                <w:rFonts w:ascii="仿宋" w:hAnsi="仿宋" w:eastAsia="仿宋" w:cs="仿宋"/>
                <w:szCs w:val="21"/>
              </w:rPr>
            </w:pPr>
            <w:r>
              <w:rPr>
                <w:rFonts w:hint="eastAsia" w:ascii="仿宋" w:hAnsi="仿宋" w:eastAsia="仿宋" w:cs="仿宋"/>
                <w:szCs w:val="21"/>
              </w:rPr>
              <w:t>响应文件内容（4分）</w:t>
            </w:r>
          </w:p>
        </w:tc>
        <w:tc>
          <w:tcPr>
            <w:tcW w:w="9076" w:type="dxa"/>
            <w:gridSpan w:val="2"/>
            <w:tcBorders>
              <w:top w:val="nil"/>
              <w:left w:val="nil"/>
              <w:bottom w:val="single" w:color="auto" w:sz="4" w:space="0"/>
              <w:right w:val="single" w:color="auto" w:sz="4" w:space="0"/>
            </w:tcBorders>
            <w:shd w:val="clear" w:color="auto" w:fill="auto"/>
            <w:vAlign w:val="center"/>
          </w:tcPr>
          <w:p w14:paraId="6619E8D0">
            <w:pPr>
              <w:rPr>
                <w:rFonts w:ascii="仿宋" w:hAnsi="仿宋" w:eastAsia="仿宋" w:cs="仿宋"/>
                <w:szCs w:val="21"/>
              </w:rPr>
            </w:pPr>
            <w:r>
              <w:rPr>
                <w:rFonts w:hint="eastAsia" w:ascii="仿宋" w:hAnsi="仿宋" w:eastAsia="仿宋" w:cs="仿宋"/>
                <w:szCs w:val="21"/>
              </w:rPr>
              <w:t>1、完全响应，得4分；   2、一般的得2分；   3、较差的得0分。</w:t>
            </w:r>
          </w:p>
        </w:tc>
        <w:tc>
          <w:tcPr>
            <w:tcW w:w="705" w:type="dxa"/>
            <w:tcBorders>
              <w:top w:val="nil"/>
              <w:left w:val="single" w:color="auto" w:sz="4" w:space="0"/>
              <w:bottom w:val="single" w:color="000000" w:sz="4" w:space="0"/>
              <w:right w:val="single" w:color="auto" w:sz="4" w:space="0"/>
            </w:tcBorders>
            <w:shd w:val="clear" w:color="auto" w:fill="auto"/>
            <w:vAlign w:val="center"/>
          </w:tcPr>
          <w:p w14:paraId="3EB21AD1">
            <w:pPr>
              <w:jc w:val="center"/>
              <w:rPr>
                <w:rFonts w:ascii="仿宋" w:hAnsi="仿宋" w:eastAsia="仿宋" w:cs="仿宋"/>
                <w:szCs w:val="21"/>
              </w:rPr>
            </w:pPr>
            <w:r>
              <w:rPr>
                <w:rFonts w:hint="eastAsia" w:ascii="仿宋" w:hAnsi="仿宋" w:eastAsia="仿宋" w:cs="仿宋"/>
                <w:szCs w:val="21"/>
              </w:rPr>
              <w:t>4</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78648827">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BC0C1EA">
            <w:pPr>
              <w:rPr>
                <w:rFonts w:ascii="仿宋" w:hAnsi="仿宋" w:eastAsia="仿宋" w:cs="仿宋"/>
                <w:szCs w:val="21"/>
              </w:rPr>
            </w:pPr>
          </w:p>
        </w:tc>
      </w:tr>
      <w:tr w14:paraId="1AB49676">
        <w:tblPrEx>
          <w:tblCellMar>
            <w:top w:w="0" w:type="dxa"/>
            <w:left w:w="108" w:type="dxa"/>
            <w:bottom w:w="0" w:type="dxa"/>
            <w:right w:w="108" w:type="dxa"/>
          </w:tblCellMar>
        </w:tblPrEx>
        <w:trPr>
          <w:trHeight w:val="441"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1FCC146">
            <w:pPr>
              <w:jc w:val="center"/>
              <w:rPr>
                <w:rFonts w:ascii="仿宋" w:hAnsi="仿宋" w:eastAsia="仿宋" w:cs="仿宋"/>
                <w:szCs w:val="21"/>
              </w:rPr>
            </w:pPr>
            <w:r>
              <w:rPr>
                <w:rFonts w:hint="eastAsia" w:ascii="仿宋" w:hAnsi="仿宋" w:eastAsia="仿宋" w:cs="仿宋"/>
                <w:szCs w:val="21"/>
              </w:rPr>
              <w:t>6</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743ADA77">
            <w:pPr>
              <w:rPr>
                <w:rFonts w:ascii="宋体" w:hAnsi="宋体"/>
                <w:color w:val="FF0000"/>
                <w:szCs w:val="21"/>
              </w:rPr>
            </w:pPr>
            <w:r>
              <w:rPr>
                <w:rFonts w:hint="eastAsia" w:ascii="仿宋" w:hAnsi="仿宋" w:eastAsia="仿宋" w:cs="仿宋"/>
                <w:szCs w:val="21"/>
              </w:rPr>
              <w:t>样品提供（</w:t>
            </w:r>
            <w:r>
              <w:rPr>
                <w:rFonts w:ascii="仿宋" w:hAnsi="仿宋" w:eastAsia="仿宋" w:cs="仿宋"/>
                <w:szCs w:val="21"/>
              </w:rPr>
              <w:t>10</w:t>
            </w:r>
            <w:r>
              <w:rPr>
                <w:rFonts w:hint="eastAsia" w:ascii="仿宋" w:hAnsi="仿宋" w:eastAsia="仿宋" w:cs="仿宋"/>
                <w:szCs w:val="21"/>
              </w:rPr>
              <w:t>分）</w:t>
            </w:r>
          </w:p>
        </w:tc>
        <w:tc>
          <w:tcPr>
            <w:tcW w:w="9076" w:type="dxa"/>
            <w:gridSpan w:val="2"/>
            <w:tcBorders>
              <w:top w:val="nil"/>
              <w:left w:val="nil"/>
              <w:bottom w:val="single" w:color="auto" w:sz="4" w:space="0"/>
              <w:right w:val="single" w:color="auto" w:sz="4" w:space="0"/>
            </w:tcBorders>
            <w:shd w:val="clear" w:color="auto" w:fill="auto"/>
            <w:vAlign w:val="center"/>
          </w:tcPr>
          <w:p w14:paraId="7361248C">
            <w:pPr>
              <w:rPr>
                <w:rFonts w:ascii="仿宋" w:hAnsi="仿宋" w:eastAsia="仿宋" w:cs="仿宋"/>
                <w:szCs w:val="21"/>
              </w:rPr>
            </w:pPr>
            <w:r>
              <w:rPr>
                <w:rFonts w:hint="eastAsia" w:ascii="仿宋" w:hAnsi="仿宋" w:eastAsia="仿宋" w:cs="仿宋"/>
                <w:szCs w:val="21"/>
              </w:rPr>
              <w:t>1、提供样品符合询价要求，得</w:t>
            </w:r>
            <w:r>
              <w:rPr>
                <w:rFonts w:ascii="仿宋" w:hAnsi="仿宋" w:eastAsia="仿宋" w:cs="仿宋"/>
                <w:szCs w:val="21"/>
              </w:rPr>
              <w:t>10</w:t>
            </w:r>
            <w:r>
              <w:rPr>
                <w:rFonts w:hint="eastAsia" w:ascii="仿宋" w:hAnsi="仿宋" w:eastAsia="仿宋" w:cs="仿宋"/>
                <w:szCs w:val="21"/>
              </w:rPr>
              <w:t>分；</w:t>
            </w:r>
          </w:p>
          <w:p w14:paraId="60D2B0A3">
            <w:pPr>
              <w:rPr>
                <w:rFonts w:ascii="仿宋" w:hAnsi="仿宋" w:eastAsia="仿宋" w:cs="仿宋"/>
                <w:szCs w:val="21"/>
              </w:rPr>
            </w:pPr>
            <w:r>
              <w:rPr>
                <w:rFonts w:hint="eastAsia" w:ascii="仿宋" w:hAnsi="仿宋" w:eastAsia="仿宋" w:cs="仿宋"/>
                <w:szCs w:val="21"/>
              </w:rPr>
              <w:t>2、提供样品未完全响应询价要求，每少提供一样，减2分。</w:t>
            </w:r>
          </w:p>
        </w:tc>
        <w:tc>
          <w:tcPr>
            <w:tcW w:w="705" w:type="dxa"/>
            <w:tcBorders>
              <w:top w:val="nil"/>
              <w:left w:val="single" w:color="auto" w:sz="4" w:space="0"/>
              <w:bottom w:val="single" w:color="auto" w:sz="4" w:space="0"/>
              <w:right w:val="single" w:color="auto" w:sz="4" w:space="0"/>
            </w:tcBorders>
            <w:shd w:val="clear" w:color="auto" w:fill="auto"/>
            <w:vAlign w:val="center"/>
          </w:tcPr>
          <w:p w14:paraId="05E362A0">
            <w:pPr>
              <w:jc w:val="center"/>
              <w:rPr>
                <w:rFonts w:ascii="仿宋" w:hAnsi="仿宋" w:eastAsia="仿宋" w:cs="仿宋"/>
                <w:szCs w:val="21"/>
              </w:rPr>
            </w:pPr>
            <w:r>
              <w:rPr>
                <w:rFonts w:ascii="仿宋" w:hAnsi="仿宋" w:eastAsia="仿宋" w:cs="仿宋"/>
                <w:szCs w:val="21"/>
              </w:rPr>
              <w:t>10</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47E4EFDC">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2531B8A">
            <w:pPr>
              <w:rPr>
                <w:rFonts w:ascii="仿宋" w:hAnsi="仿宋" w:eastAsia="仿宋" w:cs="仿宋"/>
                <w:szCs w:val="21"/>
              </w:rPr>
            </w:pPr>
          </w:p>
        </w:tc>
      </w:tr>
      <w:tr w14:paraId="1D7C9591">
        <w:tblPrEx>
          <w:tblCellMar>
            <w:top w:w="0" w:type="dxa"/>
            <w:left w:w="108" w:type="dxa"/>
            <w:bottom w:w="0" w:type="dxa"/>
            <w:right w:w="108" w:type="dxa"/>
          </w:tblCellMar>
        </w:tblPrEx>
        <w:trPr>
          <w:trHeight w:val="475"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BEA5CCF">
            <w:pPr>
              <w:jc w:val="center"/>
              <w:rPr>
                <w:rFonts w:ascii="仿宋" w:hAnsi="仿宋" w:eastAsia="仿宋" w:cs="仿宋"/>
                <w:szCs w:val="21"/>
              </w:rPr>
            </w:pPr>
            <w:r>
              <w:rPr>
                <w:rFonts w:hint="eastAsia" w:ascii="仿宋" w:hAnsi="仿宋" w:eastAsia="仿宋" w:cs="仿宋"/>
                <w:szCs w:val="21"/>
              </w:rPr>
              <w:t>7</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4F2BF7B4">
            <w:pPr>
              <w:rPr>
                <w:rFonts w:ascii="仿宋" w:hAnsi="仿宋" w:eastAsia="仿宋" w:cs="仿宋"/>
                <w:szCs w:val="21"/>
              </w:rPr>
            </w:pPr>
            <w:r>
              <w:rPr>
                <w:rFonts w:hint="eastAsia" w:ascii="仿宋" w:hAnsi="仿宋" w:eastAsia="仿宋" w:cs="仿宋"/>
                <w:szCs w:val="21"/>
              </w:rPr>
              <w:t>企业三体系认证（4分）</w:t>
            </w:r>
          </w:p>
        </w:tc>
        <w:tc>
          <w:tcPr>
            <w:tcW w:w="9076" w:type="dxa"/>
            <w:gridSpan w:val="2"/>
            <w:tcBorders>
              <w:top w:val="single" w:color="auto" w:sz="4" w:space="0"/>
              <w:left w:val="nil"/>
              <w:bottom w:val="single" w:color="auto" w:sz="4" w:space="0"/>
              <w:right w:val="single" w:color="auto" w:sz="4" w:space="0"/>
            </w:tcBorders>
            <w:shd w:val="clear" w:color="auto" w:fill="auto"/>
            <w:vAlign w:val="center"/>
          </w:tcPr>
          <w:p w14:paraId="76D7CE93">
            <w:pPr>
              <w:rPr>
                <w:rFonts w:ascii="仿宋" w:hAnsi="仿宋" w:eastAsia="仿宋" w:cs="仿宋"/>
                <w:szCs w:val="21"/>
              </w:rPr>
            </w:pPr>
            <w:r>
              <w:rPr>
                <w:rFonts w:hint="eastAsia" w:ascii="仿宋" w:hAnsi="仿宋" w:eastAsia="仿宋" w:cs="仿宋"/>
                <w:szCs w:val="21"/>
              </w:rPr>
              <w:t>质量、环境、职业健康安全管理体系，三项均有效得4分，每少一样，减2分。</w:t>
            </w:r>
          </w:p>
        </w:tc>
        <w:tc>
          <w:tcPr>
            <w:tcW w:w="705" w:type="dxa"/>
            <w:tcBorders>
              <w:top w:val="single" w:color="auto" w:sz="4" w:space="0"/>
              <w:left w:val="single" w:color="auto" w:sz="4" w:space="0"/>
              <w:bottom w:val="single" w:color="000000" w:sz="4" w:space="0"/>
              <w:right w:val="single" w:color="auto" w:sz="4" w:space="0"/>
            </w:tcBorders>
            <w:shd w:val="clear" w:color="auto" w:fill="auto"/>
            <w:vAlign w:val="center"/>
          </w:tcPr>
          <w:p w14:paraId="77228526">
            <w:pPr>
              <w:jc w:val="center"/>
              <w:rPr>
                <w:rFonts w:ascii="仿宋" w:hAnsi="仿宋" w:eastAsia="仿宋" w:cs="仿宋"/>
                <w:szCs w:val="21"/>
              </w:rPr>
            </w:pPr>
            <w:r>
              <w:rPr>
                <w:rFonts w:hint="eastAsia" w:ascii="仿宋" w:hAnsi="仿宋" w:eastAsia="仿宋" w:cs="仿宋"/>
                <w:szCs w:val="21"/>
              </w:rPr>
              <w:t>4</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18193B81">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CD0DC8A">
            <w:pPr>
              <w:rPr>
                <w:rFonts w:ascii="仿宋" w:hAnsi="仿宋" w:eastAsia="仿宋" w:cs="仿宋"/>
                <w:szCs w:val="21"/>
              </w:rPr>
            </w:pPr>
          </w:p>
        </w:tc>
      </w:tr>
      <w:tr w14:paraId="402007E7">
        <w:tblPrEx>
          <w:tblCellMar>
            <w:top w:w="0" w:type="dxa"/>
            <w:left w:w="108" w:type="dxa"/>
            <w:bottom w:w="0" w:type="dxa"/>
            <w:right w:w="108" w:type="dxa"/>
          </w:tblCellMar>
        </w:tblPrEx>
        <w:trPr>
          <w:trHeight w:val="589"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056CF777">
            <w:pPr>
              <w:jc w:val="center"/>
              <w:rPr>
                <w:rFonts w:ascii="仿宋" w:hAnsi="仿宋" w:eastAsia="仿宋" w:cs="仿宋"/>
                <w:szCs w:val="21"/>
              </w:rPr>
            </w:pPr>
            <w:r>
              <w:rPr>
                <w:rFonts w:ascii="仿宋" w:hAnsi="仿宋" w:eastAsia="仿宋" w:cs="仿宋"/>
                <w:szCs w:val="21"/>
              </w:rPr>
              <w:t>8</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3B03B454">
            <w:pPr>
              <w:rPr>
                <w:rFonts w:ascii="仿宋" w:hAnsi="仿宋" w:eastAsia="仿宋" w:cs="仿宋"/>
                <w:color w:val="auto"/>
                <w:szCs w:val="21"/>
                <w:highlight w:val="none"/>
              </w:rPr>
            </w:pPr>
            <w:r>
              <w:rPr>
                <w:rFonts w:hint="eastAsia" w:ascii="仿宋" w:hAnsi="仿宋" w:eastAsia="仿宋" w:cs="仿宋"/>
                <w:color w:val="auto"/>
                <w:szCs w:val="21"/>
                <w:highlight w:val="none"/>
              </w:rPr>
              <w:t>送货周期响应情况（4分）</w:t>
            </w:r>
          </w:p>
        </w:tc>
        <w:tc>
          <w:tcPr>
            <w:tcW w:w="9076" w:type="dxa"/>
            <w:gridSpan w:val="2"/>
            <w:tcBorders>
              <w:top w:val="nil"/>
              <w:left w:val="nil"/>
              <w:bottom w:val="single" w:color="auto" w:sz="4" w:space="0"/>
              <w:right w:val="single" w:color="auto" w:sz="4" w:space="0"/>
            </w:tcBorders>
            <w:shd w:val="clear" w:color="auto" w:fill="auto"/>
            <w:vAlign w:val="center"/>
          </w:tcPr>
          <w:p w14:paraId="72AB0142">
            <w:pPr>
              <w:rPr>
                <w:rFonts w:ascii="仿宋" w:hAnsi="仿宋" w:eastAsia="仿宋" w:cs="仿宋"/>
                <w:color w:val="auto"/>
                <w:szCs w:val="21"/>
                <w:highlight w:val="none"/>
              </w:rPr>
            </w:pPr>
            <w:r>
              <w:rPr>
                <w:rFonts w:hint="eastAsia" w:ascii="仿宋" w:hAnsi="仿宋" w:eastAsia="仿宋" w:cs="仿宋"/>
                <w:color w:val="auto"/>
                <w:szCs w:val="21"/>
                <w:highlight w:val="none"/>
              </w:rPr>
              <w:t>1、送货周期在</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en-US" w:eastAsia="zh-CN"/>
              </w:rPr>
              <w:t>3</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天以内，紧急情况下供货时效在</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en-US" w:eastAsia="zh-CN"/>
              </w:rPr>
              <w:t>1</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天以内送达指定地点，得4分；</w:t>
            </w:r>
          </w:p>
          <w:p w14:paraId="5691D3AC">
            <w:pPr>
              <w:rPr>
                <w:rFonts w:ascii="仿宋" w:hAnsi="仿宋" w:eastAsia="仿宋" w:cs="仿宋"/>
                <w:color w:val="auto"/>
                <w:szCs w:val="21"/>
                <w:highlight w:val="none"/>
              </w:rPr>
            </w:pPr>
            <w:r>
              <w:rPr>
                <w:rFonts w:hint="eastAsia" w:ascii="仿宋" w:hAnsi="仿宋" w:eastAsia="仿宋" w:cs="仿宋"/>
                <w:color w:val="auto"/>
                <w:szCs w:val="21"/>
                <w:highlight w:val="none"/>
              </w:rPr>
              <w:t>2、每批送货周期均在</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en-US" w:eastAsia="zh-CN"/>
              </w:rPr>
              <w:t>3</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天完成，得2分。</w:t>
            </w:r>
          </w:p>
        </w:tc>
        <w:tc>
          <w:tcPr>
            <w:tcW w:w="705" w:type="dxa"/>
            <w:tcBorders>
              <w:top w:val="nil"/>
              <w:left w:val="single" w:color="auto" w:sz="4" w:space="0"/>
              <w:bottom w:val="single" w:color="000000" w:sz="4" w:space="0"/>
              <w:right w:val="single" w:color="auto" w:sz="4" w:space="0"/>
            </w:tcBorders>
            <w:shd w:val="clear" w:color="auto" w:fill="auto"/>
            <w:vAlign w:val="center"/>
          </w:tcPr>
          <w:p w14:paraId="1B259A2B">
            <w:pPr>
              <w:jc w:val="center"/>
              <w:rPr>
                <w:rFonts w:ascii="仿宋" w:hAnsi="仿宋" w:eastAsia="仿宋" w:cs="仿宋"/>
                <w:szCs w:val="21"/>
              </w:rPr>
            </w:pPr>
            <w:r>
              <w:rPr>
                <w:rFonts w:hint="eastAsia" w:ascii="仿宋" w:hAnsi="仿宋" w:eastAsia="仿宋" w:cs="仿宋"/>
                <w:szCs w:val="21"/>
              </w:rPr>
              <w:t>4</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5F83BE81">
            <w:pPr>
              <w:rPr>
                <w:rFonts w:ascii="仿宋" w:hAnsi="仿宋" w:eastAsia="仿宋" w:cs="仿宋"/>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D62327D">
            <w:pPr>
              <w:rPr>
                <w:rFonts w:ascii="仿宋" w:hAnsi="仿宋" w:eastAsia="仿宋" w:cs="仿宋"/>
                <w:szCs w:val="21"/>
              </w:rPr>
            </w:pPr>
          </w:p>
        </w:tc>
      </w:tr>
      <w:tr w14:paraId="52FB35DE">
        <w:tblPrEx>
          <w:tblCellMar>
            <w:top w:w="0" w:type="dxa"/>
            <w:left w:w="108" w:type="dxa"/>
            <w:bottom w:w="0" w:type="dxa"/>
            <w:right w:w="108" w:type="dxa"/>
          </w:tblCellMar>
        </w:tblPrEx>
        <w:trPr>
          <w:trHeight w:val="749"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3491399C">
            <w:pPr>
              <w:rPr>
                <w:rFonts w:ascii="仿宋" w:hAnsi="仿宋" w:eastAsia="仿宋" w:cs="仿宋"/>
                <w:b w:val="0"/>
                <w:bCs w:val="0"/>
                <w:szCs w:val="21"/>
              </w:rPr>
            </w:pPr>
            <w:r>
              <w:rPr>
                <w:rFonts w:hint="eastAsia" w:ascii="仿宋" w:hAnsi="仿宋" w:eastAsia="仿宋" w:cs="仿宋"/>
                <w:b w:val="0"/>
                <w:bCs w:val="0"/>
                <w:szCs w:val="21"/>
              </w:rPr>
              <w:t>二、</w:t>
            </w:r>
          </w:p>
        </w:tc>
        <w:tc>
          <w:tcPr>
            <w:tcW w:w="3119" w:type="dxa"/>
            <w:tcBorders>
              <w:top w:val="single" w:color="auto" w:sz="4" w:space="0"/>
              <w:left w:val="single" w:color="auto" w:sz="4" w:space="0"/>
              <w:bottom w:val="single" w:color="auto" w:sz="4" w:space="0"/>
              <w:right w:val="single" w:color="auto" w:sz="4" w:space="0"/>
            </w:tcBorders>
            <w:shd w:val="clear" w:color="auto" w:fill="auto"/>
            <w:vAlign w:val="center"/>
          </w:tcPr>
          <w:p w14:paraId="4661C8C4">
            <w:pPr>
              <w:rPr>
                <w:rFonts w:ascii="仿宋" w:hAnsi="仿宋" w:eastAsia="仿宋" w:cs="仿宋"/>
                <w:b w:val="0"/>
                <w:bCs w:val="0"/>
                <w:kern w:val="0"/>
                <w:szCs w:val="21"/>
              </w:rPr>
            </w:pPr>
            <w:r>
              <w:rPr>
                <w:rFonts w:hint="eastAsia" w:ascii="仿宋" w:hAnsi="仿宋" w:eastAsia="仿宋" w:cs="仿宋"/>
                <w:b w:val="0"/>
                <w:bCs w:val="0"/>
                <w:szCs w:val="21"/>
              </w:rPr>
              <w:t>报价（</w:t>
            </w:r>
            <w:r>
              <w:rPr>
                <w:rFonts w:ascii="仿宋" w:hAnsi="仿宋" w:eastAsia="仿宋" w:cs="仿宋"/>
                <w:b w:val="0"/>
                <w:bCs w:val="0"/>
                <w:szCs w:val="21"/>
              </w:rPr>
              <w:t>6</w:t>
            </w:r>
            <w:r>
              <w:rPr>
                <w:rFonts w:hint="eastAsia" w:ascii="仿宋" w:hAnsi="仿宋" w:eastAsia="仿宋" w:cs="仿宋"/>
                <w:b w:val="0"/>
                <w:bCs w:val="0"/>
                <w:szCs w:val="21"/>
              </w:rPr>
              <w:t>0分）</w:t>
            </w:r>
          </w:p>
        </w:tc>
        <w:tc>
          <w:tcPr>
            <w:tcW w:w="90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045F2C">
            <w:pPr>
              <w:rPr>
                <w:rFonts w:ascii="仿宋" w:hAnsi="仿宋" w:eastAsia="仿宋" w:cs="仿宋"/>
                <w:szCs w:val="21"/>
                <w:highlight w:val="none"/>
              </w:rPr>
            </w:pPr>
            <w:r>
              <w:rPr>
                <w:rFonts w:hint="eastAsia" w:ascii="仿宋" w:hAnsi="仿宋" w:eastAsia="仿宋" w:cs="仿宋"/>
                <w:szCs w:val="21"/>
                <w:highlight w:val="none"/>
              </w:rPr>
              <w:t>1、评选基准价的确定：以有效报价中最低价为基准价。</w:t>
            </w:r>
          </w:p>
          <w:p w14:paraId="48246DE7">
            <w:pPr>
              <w:rPr>
                <w:rFonts w:ascii="仿宋" w:hAnsi="仿宋" w:eastAsia="仿宋" w:cs="仿宋"/>
                <w:szCs w:val="21"/>
                <w:highlight w:val="none"/>
              </w:rPr>
            </w:pPr>
            <w:r>
              <w:rPr>
                <w:rFonts w:hint="eastAsia" w:ascii="仿宋" w:hAnsi="仿宋" w:eastAsia="仿宋" w:cs="仿宋"/>
                <w:szCs w:val="21"/>
                <w:highlight w:val="none"/>
              </w:rPr>
              <w:t>2、计算公式：</w:t>
            </w:r>
          </w:p>
          <w:p w14:paraId="387292AF">
            <w:pPr>
              <w:rPr>
                <w:rFonts w:ascii="仿宋" w:hAnsi="仿宋" w:eastAsia="仿宋" w:cs="仿宋"/>
                <w:szCs w:val="21"/>
                <w:highlight w:val="none"/>
              </w:rPr>
            </w:pPr>
            <w:r>
              <w:rPr>
                <w:rFonts w:hint="eastAsia" w:ascii="仿宋" w:hAnsi="仿宋" w:eastAsia="仿宋" w:cs="仿宋"/>
                <w:szCs w:val="21"/>
                <w:highlight w:val="none"/>
              </w:rPr>
              <w:t>偏差率=（报价人报价-评选基准价）/评选基准价×100。</w:t>
            </w:r>
          </w:p>
          <w:p w14:paraId="61365C05">
            <w:pPr>
              <w:rPr>
                <w:rFonts w:ascii="仿宋" w:hAnsi="仿宋" w:eastAsia="仿宋" w:cs="仿宋"/>
                <w:szCs w:val="21"/>
                <w:highlight w:val="none"/>
              </w:rPr>
            </w:pPr>
            <w:r>
              <w:rPr>
                <w:rFonts w:hint="eastAsia" w:ascii="仿宋" w:hAnsi="仿宋" w:eastAsia="仿宋" w:cs="仿宋"/>
                <w:szCs w:val="21"/>
                <w:highlight w:val="none"/>
              </w:rPr>
              <w:t>得分规则：参选人报价最低的等于评选基准价得满分</w:t>
            </w:r>
            <w:r>
              <w:rPr>
                <w:rFonts w:hint="eastAsia" w:ascii="仿宋" w:hAnsi="仿宋" w:eastAsia="仿宋" w:cs="仿宋"/>
                <w:szCs w:val="21"/>
                <w:highlight w:val="none"/>
                <w:lang w:val="en-US" w:eastAsia="zh-CN"/>
              </w:rPr>
              <w:t>6</w:t>
            </w:r>
            <w:r>
              <w:rPr>
                <w:rFonts w:hint="eastAsia" w:ascii="仿宋" w:hAnsi="仿宋" w:eastAsia="仿宋" w:cs="仿宋"/>
                <w:szCs w:val="21"/>
                <w:highlight w:val="none"/>
              </w:rPr>
              <w:t>0分，每高1%在满分的基础上扣2分。（得分保留两位小数）</w:t>
            </w:r>
          </w:p>
          <w:p w14:paraId="61986B3C">
            <w:pPr>
              <w:rPr>
                <w:rFonts w:ascii="仿宋" w:hAnsi="仿宋" w:eastAsia="仿宋" w:cs="仿宋"/>
                <w:szCs w:val="21"/>
              </w:rPr>
            </w:pPr>
            <w:r>
              <w:rPr>
                <w:rFonts w:hint="eastAsia" w:ascii="仿宋" w:hAnsi="仿宋" w:eastAsia="仿宋" w:cs="仿宋"/>
                <w:szCs w:val="21"/>
                <w:highlight w:val="none"/>
              </w:rPr>
              <w:t>注：计算评选基准价和参选人报价得分时扣除安全文明施工费、暂列金额（仅限工程服务报价）。</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14:paraId="586EA176">
            <w:pPr>
              <w:jc w:val="center"/>
              <w:rPr>
                <w:rFonts w:ascii="仿宋" w:hAnsi="仿宋" w:eastAsia="仿宋" w:cs="仿宋"/>
                <w:szCs w:val="21"/>
              </w:rPr>
            </w:pPr>
            <w:r>
              <w:rPr>
                <w:rFonts w:ascii="仿宋" w:hAnsi="仿宋" w:eastAsia="仿宋" w:cs="仿宋"/>
                <w:b/>
                <w:bCs w:val="0"/>
                <w:szCs w:val="21"/>
              </w:rPr>
              <w:t>6</w:t>
            </w:r>
            <w:r>
              <w:rPr>
                <w:rFonts w:hint="eastAsia" w:ascii="仿宋" w:hAnsi="仿宋" w:eastAsia="仿宋" w:cs="仿宋"/>
                <w:b/>
                <w:bCs w:val="0"/>
                <w:szCs w:val="21"/>
              </w:rPr>
              <w:t>0</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498DF05E">
            <w:pPr>
              <w:jc w:val="center"/>
              <w:rPr>
                <w:rFonts w:ascii="仿宋" w:hAnsi="仿宋" w:eastAsia="仿宋" w:cs="仿宋"/>
                <w:b/>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3A0EF8C">
            <w:pPr>
              <w:rPr>
                <w:rFonts w:ascii="仿宋" w:hAnsi="仿宋" w:eastAsia="仿宋" w:cs="仿宋"/>
                <w:b/>
                <w:szCs w:val="21"/>
              </w:rPr>
            </w:pPr>
          </w:p>
        </w:tc>
      </w:tr>
    </w:tbl>
    <w:p w14:paraId="3143B5F4">
      <w:pPr>
        <w:rPr>
          <w:rFonts w:ascii="宋体" w:hAnsi="宋体"/>
        </w:rPr>
        <w:sectPr>
          <w:type w:val="continuous"/>
          <w:pgSz w:w="16838" w:h="11906" w:orient="landscape"/>
          <w:pgMar w:top="1191" w:right="1304" w:bottom="1191" w:left="1304" w:header="851" w:footer="992" w:gutter="0"/>
          <w:cols w:space="0" w:num="1"/>
          <w:titlePg/>
          <w:docGrid w:type="lines" w:linePitch="317" w:charSpace="0"/>
        </w:sectPr>
      </w:pPr>
    </w:p>
    <w:p w14:paraId="08B70E76">
      <w:pPr>
        <w:rPr>
          <w:rFonts w:ascii="宋体" w:hAnsi="宋体"/>
        </w:rPr>
      </w:pPr>
    </w:p>
    <w:p w14:paraId="6F076466">
      <w:pPr>
        <w:pStyle w:val="2"/>
        <w:spacing w:after="161" w:afterLines="50" w:line="560" w:lineRule="exact"/>
        <w:jc w:val="center"/>
        <w:rPr>
          <w:rFonts w:ascii="仿宋" w:hAnsi="仿宋" w:eastAsia="仿宋" w:cs="仿宋"/>
          <w:sz w:val="36"/>
          <w:szCs w:val="36"/>
        </w:rPr>
      </w:pPr>
      <w:r>
        <w:rPr>
          <w:rFonts w:hint="eastAsia" w:ascii="黑体" w:hAnsi="黑体" w:eastAsia="黑体" w:cs="黑体"/>
          <w:b w:val="0"/>
          <w:bCs/>
          <w:sz w:val="30"/>
          <w:szCs w:val="30"/>
          <w:lang w:val="en-US"/>
        </w:rPr>
        <w:t>第四章 技术要求</w:t>
      </w:r>
    </w:p>
    <w:p w14:paraId="70783BEC">
      <w:pPr>
        <w:spacing w:line="560" w:lineRule="exact"/>
        <w:rPr>
          <w:rFonts w:ascii="黑体" w:hAnsi="黑体" w:eastAsia="黑体" w:cs="黑体"/>
          <w:bCs/>
          <w:sz w:val="24"/>
          <w:szCs w:val="24"/>
        </w:rPr>
      </w:pPr>
      <w:r>
        <w:rPr>
          <w:rFonts w:hint="eastAsia" w:ascii="黑体" w:hAnsi="黑体" w:eastAsia="黑体" w:cs="黑体"/>
          <w:bCs/>
          <w:sz w:val="24"/>
          <w:szCs w:val="24"/>
        </w:rPr>
        <w:t>1.技术要求与验收</w:t>
      </w:r>
    </w:p>
    <w:p w14:paraId="5D231F46">
      <w:pPr>
        <w:spacing w:line="560" w:lineRule="exact"/>
        <w:ind w:firstLine="482" w:firstLineChars="200"/>
        <w:rPr>
          <w:rFonts w:ascii="仿宋" w:hAnsi="仿宋" w:eastAsia="仿宋" w:cs="仿宋"/>
          <w:sz w:val="24"/>
          <w:szCs w:val="24"/>
        </w:rPr>
      </w:pPr>
      <w:r>
        <w:rPr>
          <w:rFonts w:hint="eastAsia" w:ascii="仿宋" w:hAnsi="仿宋" w:eastAsia="仿宋" w:cs="仿宋"/>
          <w:b/>
          <w:bCs/>
          <w:sz w:val="24"/>
          <w:szCs w:val="24"/>
        </w:rPr>
        <w:t>1.1产品质量、环保、技术标准</w:t>
      </w:r>
    </w:p>
    <w:p w14:paraId="3048618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1.1.1由供应商提供样品，采购人确定，供应商保证所提供一切产品质量必须符合现行相关国家产品质量标准，符合国家关于环境保护、人身健康及安全、公共利益等方面的标准。供应商经营的产品经有关部门抽检不符合相关标准，由此产生的损失均由供应商承担，同时，采购人有权从货款中扣除因此给采购人造成损失，并有权提前解除协议。</w:t>
      </w:r>
    </w:p>
    <w:p w14:paraId="19709A4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1.1.2供应商商品应具备应有的使用功能、安全性能、环保、卫生等相关要求并符合国家、地方、行业标准。</w:t>
      </w:r>
    </w:p>
    <w:p w14:paraId="6921B248">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1.1.3 供应商所售商品或提供的服务存在质量等问题，采购人有权拒绝向供应商支付货款，采购人同时有权直接动用采购款项或质量保证金对使用单位进行赔付，无需征得供应商同意。当供应商质量保证金少于规定的金额或者不足以支付赔付费用时，供应商必须在接到甲方通知后3日内补齐差额部分。</w:t>
      </w:r>
    </w:p>
    <w:p w14:paraId="57A6DD62">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1.1.4 产品包装</w:t>
      </w:r>
    </w:p>
    <w:p w14:paraId="1352DB2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a.供应商经营的商品及包装标识应符合法律法规、行政规章和其他规范性文件的规定；产品的随附文件，如质量合格证、产品中文说明书、保修单、技术说明书等应全面完整。</w:t>
      </w:r>
    </w:p>
    <w:p w14:paraId="56E0A4D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如供应商提供的是虚假、无效或失效的证件、证照、文件，因此被政府部门查处或给消费者等其他第三方带来损失的，所有责任均由供应商承担；并赔偿因此给采购人造成的所有损失，同时采购人有权提前解除协议。</w:t>
      </w:r>
    </w:p>
    <w:p w14:paraId="38D48BE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c.供应商产品的包装应符合销售和运输的要求，因包装不充分或损坏引起的商品短缺或破损由供应商负责补齐。</w:t>
      </w:r>
    </w:p>
    <w:p w14:paraId="540F844A">
      <w:pPr>
        <w:spacing w:line="56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1.2 产品验收</w:t>
      </w:r>
    </w:p>
    <w:p w14:paraId="0D50145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产品验收按国家有关标准规定或封样样品验收，采购人指定人员在交货地点对到货产品进行检验、签收。</w:t>
      </w:r>
    </w:p>
    <w:p w14:paraId="75C7FA3C">
      <w:pPr>
        <w:spacing w:line="56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1.3产品进场复试</w:t>
      </w:r>
    </w:p>
    <w:p w14:paraId="6ED6173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对于建筑施工管理规范中要求进场复试的材料，现场抽样进行复试，质量、品质、环保及其他等级指标达到国家规范、行业标准、复试合格试验费用由采购人承担，复试不合格由供应商承担，同时还要承担采购人的所有损失。</w:t>
      </w:r>
    </w:p>
    <w:p w14:paraId="3AD53FE3">
      <w:pPr>
        <w:spacing w:line="560" w:lineRule="exact"/>
        <w:ind w:firstLine="482" w:firstLineChars="200"/>
        <w:rPr>
          <w:rFonts w:ascii="仿宋" w:hAnsi="仿宋" w:eastAsia="仿宋" w:cs="仿宋"/>
          <w:sz w:val="24"/>
          <w:szCs w:val="24"/>
        </w:rPr>
      </w:pPr>
      <w:r>
        <w:rPr>
          <w:rFonts w:hint="eastAsia" w:ascii="仿宋" w:hAnsi="仿宋" w:eastAsia="仿宋" w:cs="仿宋"/>
          <w:b/>
          <w:bCs/>
          <w:sz w:val="24"/>
          <w:szCs w:val="24"/>
        </w:rPr>
        <w:t>1.4产品退换货</w:t>
      </w:r>
    </w:p>
    <w:p w14:paraId="30582B2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交货时如货物品种、规格、型号、花色、质量与协议（合同）规定不符，产品包装受损、配件缺损的，后期因产品进场复试不合格等情形均由供应商负责维修、退换，并承担采购人因仓储、调换、退货而产生的所有费用，供应商应按采购人的要求免费更换损坏的产品。</w:t>
      </w:r>
    </w:p>
    <w:p w14:paraId="0C4B5B78">
      <w:pPr>
        <w:spacing w:line="560" w:lineRule="exact"/>
        <w:rPr>
          <w:rFonts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rPr>
        <w:t>2.货物验收</w:t>
      </w:r>
    </w:p>
    <w:p w14:paraId="5EDFFEE9">
      <w:pPr>
        <w:spacing w:line="560" w:lineRule="exact"/>
        <w:ind w:firstLine="482" w:firstLineChars="200"/>
        <w:rPr>
          <w:rFonts w:ascii="仿宋" w:hAnsi="仿宋" w:eastAsia="仿宋" w:cs="仿宋"/>
          <w:sz w:val="24"/>
          <w:szCs w:val="24"/>
        </w:rPr>
      </w:pPr>
      <w:r>
        <w:rPr>
          <w:rFonts w:hint="eastAsia" w:ascii="仿宋" w:hAnsi="仿宋" w:eastAsia="仿宋" w:cs="仿宋"/>
          <w:b/>
          <w:bCs/>
          <w:sz w:val="24"/>
          <w:szCs w:val="24"/>
        </w:rPr>
        <w:t>2.1 验收标准</w:t>
      </w:r>
    </w:p>
    <w:p w14:paraId="1000105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2.1.1按照协议约定的技术性能及质量标准进行验收。</w:t>
      </w:r>
    </w:p>
    <w:p w14:paraId="51FF6AB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2.1.2符合国家或行业现行相关规范与标准。</w:t>
      </w:r>
    </w:p>
    <w:p w14:paraId="56A49E2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2.1.3外观检查，现场测试、测量，产品复试等。</w:t>
      </w:r>
    </w:p>
    <w:p w14:paraId="61D7383F">
      <w:pPr>
        <w:spacing w:line="560" w:lineRule="exact"/>
        <w:ind w:firstLine="482" w:firstLineChars="200"/>
        <w:rPr>
          <w:rFonts w:ascii="仿宋" w:hAnsi="仿宋" w:eastAsia="仿宋" w:cs="仿宋"/>
          <w:sz w:val="24"/>
          <w:szCs w:val="24"/>
        </w:rPr>
      </w:pPr>
      <w:r>
        <w:rPr>
          <w:rFonts w:hint="eastAsia" w:ascii="仿宋" w:hAnsi="仿宋" w:eastAsia="仿宋" w:cs="仿宋"/>
          <w:b/>
          <w:bCs/>
          <w:sz w:val="24"/>
          <w:szCs w:val="24"/>
        </w:rPr>
        <w:t>2.2 验收方式</w:t>
      </w:r>
      <w:r>
        <w:rPr>
          <w:rFonts w:hint="eastAsia" w:ascii="仿宋" w:hAnsi="仿宋" w:eastAsia="仿宋" w:cs="仿宋"/>
          <w:sz w:val="24"/>
          <w:szCs w:val="24"/>
        </w:rPr>
        <w:tab/>
      </w:r>
    </w:p>
    <w:p w14:paraId="2462B649">
      <w:pPr>
        <w:spacing w:line="560" w:lineRule="exact"/>
        <w:ind w:firstLine="480" w:firstLineChars="200"/>
        <w:rPr>
          <w:rFonts w:ascii="仿宋" w:hAnsi="仿宋" w:eastAsia="仿宋" w:cs="仿宋"/>
          <w:b/>
          <w:sz w:val="24"/>
          <w:szCs w:val="24"/>
        </w:rPr>
      </w:pPr>
      <w:r>
        <w:rPr>
          <w:rFonts w:hint="eastAsia" w:ascii="仿宋" w:hAnsi="仿宋" w:eastAsia="仿宋" w:cs="仿宋"/>
          <w:sz w:val="24"/>
          <w:szCs w:val="24"/>
        </w:rPr>
        <w:t>产品到达交货地点，询价方的指定收货人对货物的外观质量、规格、包装、数量等进行验收。</w:t>
      </w:r>
    </w:p>
    <w:p w14:paraId="603FC35C">
      <w:pPr>
        <w:spacing w:line="560" w:lineRule="exact"/>
        <w:rPr>
          <w:rFonts w:ascii="黑体" w:hAnsi="黑体" w:eastAsia="黑体" w:cs="黑体"/>
          <w:bCs/>
          <w:sz w:val="24"/>
          <w:szCs w:val="24"/>
        </w:rPr>
      </w:pPr>
      <w:r>
        <w:rPr>
          <w:rFonts w:hint="eastAsia" w:ascii="黑体" w:hAnsi="黑体" w:eastAsia="黑体" w:cs="黑体"/>
          <w:bCs/>
          <w:sz w:val="24"/>
          <w:szCs w:val="24"/>
        </w:rPr>
        <w:t>3.售后服务要求</w:t>
      </w:r>
    </w:p>
    <w:p w14:paraId="775A591A">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3.1 质量保证</w:t>
      </w:r>
    </w:p>
    <w:p w14:paraId="4EADBDE5">
      <w:pPr>
        <w:spacing w:line="56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对本次采购所提供的产品均为原厂原包装，并提供产品相关资料（包括批次信息、质量证明文件、合格证等）所有货物均需在采购人入场检验后判定是否合格。</w:t>
      </w:r>
    </w:p>
    <w:p w14:paraId="20D29CE1">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3.2 货物存储：</w:t>
      </w:r>
      <w:r>
        <w:rPr>
          <w:rFonts w:hint="eastAsia" w:ascii="仿宋" w:hAnsi="仿宋" w:eastAsia="仿宋" w:cs="仿宋"/>
          <w:kern w:val="0"/>
          <w:sz w:val="24"/>
          <w:szCs w:val="24"/>
        </w:rPr>
        <w:t>供应商应具备良好的储存条件，保证产品质量。</w:t>
      </w:r>
    </w:p>
    <w:p w14:paraId="42640A43">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3.3 退换货：</w:t>
      </w:r>
      <w:r>
        <w:rPr>
          <w:rFonts w:hint="eastAsia" w:ascii="仿宋" w:hAnsi="仿宋" w:eastAsia="仿宋" w:cs="仿宋"/>
          <w:kern w:val="0"/>
          <w:sz w:val="24"/>
          <w:szCs w:val="24"/>
        </w:rPr>
        <w:t>对不符合采购货物要求，或采购人复检不合格的产品，供应商应及时进行退换货处理。</w:t>
      </w:r>
    </w:p>
    <w:p w14:paraId="54AA6275">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3.4 响应时间：</w:t>
      </w:r>
      <w:r>
        <w:rPr>
          <w:rFonts w:hint="eastAsia" w:ascii="仿宋" w:hAnsi="仿宋" w:eastAsia="仿宋" w:cs="仿宋"/>
          <w:kern w:val="0"/>
          <w:sz w:val="24"/>
          <w:szCs w:val="24"/>
        </w:rPr>
        <w:t>供应商应具备及时响应机制，如发生问题，须在不超过2个小时内响应，并在三个工作日内进行免费更换。</w:t>
      </w:r>
    </w:p>
    <w:p w14:paraId="54089495">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3.5 质量保证：</w:t>
      </w:r>
      <w:r>
        <w:rPr>
          <w:rFonts w:hint="eastAsia" w:ascii="仿宋" w:hAnsi="仿宋" w:eastAsia="仿宋" w:cs="仿宋"/>
          <w:kern w:val="0"/>
          <w:sz w:val="24"/>
          <w:szCs w:val="24"/>
        </w:rPr>
        <w:t>从</w:t>
      </w:r>
      <w:r>
        <w:rPr>
          <w:rFonts w:hint="eastAsia" w:ascii="仿宋" w:hAnsi="仿宋" w:eastAsia="仿宋" w:cs="仿宋"/>
          <w:kern w:val="0"/>
          <w:sz w:val="24"/>
          <w:szCs w:val="24"/>
          <w:lang w:val="en-US" w:eastAsia="zh-CN"/>
        </w:rPr>
        <w:t>物资</w:t>
      </w:r>
      <w:r>
        <w:rPr>
          <w:rFonts w:hint="eastAsia" w:ascii="仿宋" w:hAnsi="仿宋" w:eastAsia="仿宋" w:cs="仿宋"/>
          <w:kern w:val="0"/>
          <w:sz w:val="24"/>
          <w:szCs w:val="24"/>
        </w:rPr>
        <w:t>到场检验合格起，供应商应承诺有不低于2年的质量保证期，供应商在2年保质期内免费为采购人更换不合格产品。</w:t>
      </w:r>
    </w:p>
    <w:p w14:paraId="1C128B5C">
      <w:pPr>
        <w:spacing w:line="560" w:lineRule="exact"/>
        <w:rPr>
          <w:rFonts w:ascii="黑体" w:hAnsi="黑体" w:eastAsia="黑体" w:cs="黑体"/>
          <w:bCs/>
          <w:sz w:val="24"/>
          <w:szCs w:val="24"/>
        </w:rPr>
      </w:pPr>
      <w:r>
        <w:rPr>
          <w:rFonts w:hint="eastAsia" w:ascii="黑体" w:hAnsi="黑体" w:eastAsia="黑体" w:cs="黑体"/>
          <w:bCs/>
          <w:sz w:val="24"/>
          <w:szCs w:val="24"/>
        </w:rPr>
        <w:t>4.其他约定：</w:t>
      </w:r>
    </w:p>
    <w:p w14:paraId="67ABD5A4">
      <w:pPr>
        <w:pStyle w:val="33"/>
        <w:numPr>
          <w:ilvl w:val="0"/>
          <w:numId w:val="0"/>
        </w:numPr>
        <w:spacing w:before="161" w:after="161" w:line="360" w:lineRule="auto"/>
        <w:ind w:firstLine="482" w:firstLineChars="200"/>
        <w:rPr>
          <w:rFonts w:ascii="仿宋" w:hAnsi="仿宋" w:eastAsia="仿宋" w:cs="仿宋"/>
          <w:szCs w:val="24"/>
        </w:rPr>
      </w:pPr>
      <w:r>
        <w:rPr>
          <w:rFonts w:hint="eastAsia" w:ascii="仿宋" w:hAnsi="仿宋" w:eastAsia="仿宋" w:cs="仿宋"/>
          <w:b/>
          <w:bCs w:val="0"/>
          <w:szCs w:val="24"/>
        </w:rPr>
        <w:t>4.1 保修期限约定：</w:t>
      </w:r>
      <w:r>
        <w:rPr>
          <w:rFonts w:hint="eastAsia" w:ascii="仿宋" w:hAnsi="仿宋" w:eastAsia="仿宋" w:cs="仿宋"/>
          <w:szCs w:val="24"/>
          <w:u w:val="single"/>
        </w:rPr>
        <w:t xml:space="preserve">   自项目竣工验收之日起</w:t>
      </w:r>
      <w:r>
        <w:rPr>
          <w:rFonts w:hint="eastAsia" w:ascii="仿宋" w:hAnsi="仿宋" w:eastAsia="仿宋" w:cs="仿宋"/>
          <w:kern w:val="0"/>
          <w:szCs w:val="24"/>
          <w:u w:val="single"/>
        </w:rPr>
        <w:t>2年</w:t>
      </w:r>
      <w:r>
        <w:rPr>
          <w:rFonts w:hint="eastAsia" w:ascii="仿宋" w:hAnsi="仿宋" w:eastAsia="仿宋" w:cs="仿宋"/>
          <w:szCs w:val="24"/>
          <w:u w:val="single"/>
        </w:rPr>
        <w:t xml:space="preserve">     </w:t>
      </w:r>
      <w:r>
        <w:rPr>
          <w:rFonts w:hint="eastAsia" w:ascii="仿宋" w:hAnsi="仿宋" w:eastAsia="仿宋" w:cs="仿宋"/>
          <w:szCs w:val="24"/>
        </w:rPr>
        <w:t>。</w:t>
      </w:r>
    </w:p>
    <w:p w14:paraId="1A35217F">
      <w:pPr>
        <w:pStyle w:val="38"/>
        <w:spacing w:after="40" w:line="360" w:lineRule="auto"/>
        <w:ind w:firstLine="482" w:firstLineChars="200"/>
        <w:rPr>
          <w:rFonts w:ascii="仿宋" w:hAnsi="仿宋" w:eastAsia="仿宋" w:cs="仿宋"/>
        </w:rPr>
      </w:pPr>
      <w:r>
        <w:rPr>
          <w:rFonts w:hint="eastAsia" w:ascii="仿宋" w:hAnsi="仿宋" w:eastAsia="仿宋" w:cs="仿宋"/>
          <w:b/>
          <w:bCs/>
        </w:rPr>
        <w:t xml:space="preserve">4.2 </w:t>
      </w:r>
      <w:r>
        <w:rPr>
          <w:rFonts w:hint="eastAsia" w:ascii="仿宋" w:hAnsi="仿宋" w:eastAsia="仿宋" w:cs="仿宋"/>
          <w:b/>
          <w:bCs w:val="0"/>
          <w:kern w:val="2"/>
          <w:sz w:val="24"/>
          <w:szCs w:val="24"/>
          <w:lang w:val="en-US" w:eastAsia="zh-CN" w:bidi="ar-SA"/>
        </w:rPr>
        <w:t>补充条款或协议内条款修订：</w:t>
      </w:r>
      <w:r>
        <w:rPr>
          <w:rFonts w:hint="eastAsia" w:ascii="仿宋" w:hAnsi="仿宋" w:eastAsia="仿宋" w:cs="仿宋"/>
          <w:u w:val="single"/>
        </w:rPr>
        <w:t xml:space="preserve">                                         </w:t>
      </w:r>
    </w:p>
    <w:p w14:paraId="3D8ABBD3">
      <w:pPr>
        <w:pStyle w:val="33"/>
        <w:numPr>
          <w:ilvl w:val="0"/>
          <w:numId w:val="0"/>
        </w:numPr>
        <w:spacing w:before="161" w:after="161" w:line="360" w:lineRule="auto"/>
        <w:rPr>
          <w:rFonts w:ascii="仿宋" w:hAnsi="仿宋" w:eastAsia="仿宋" w:cs="仿宋"/>
          <w:b/>
          <w:bCs w:val="0"/>
          <w:szCs w:val="24"/>
        </w:rPr>
      </w:pPr>
      <w:r>
        <w:rPr>
          <w:rFonts w:hint="eastAsia" w:ascii="仿宋" w:hAnsi="仿宋" w:eastAsia="仿宋" w:cs="仿宋"/>
          <w:szCs w:val="24"/>
          <w:u w:val="single"/>
        </w:rPr>
        <w:t xml:space="preserve">                                                                           </w:t>
      </w:r>
    </w:p>
    <w:p w14:paraId="66EC0A59">
      <w:pPr>
        <w:pStyle w:val="33"/>
        <w:numPr>
          <w:ilvl w:val="0"/>
          <w:numId w:val="0"/>
        </w:numPr>
        <w:spacing w:before="161" w:after="161" w:line="360" w:lineRule="auto"/>
        <w:rPr>
          <w:rFonts w:ascii="仿宋" w:hAnsi="仿宋" w:eastAsia="仿宋" w:cs="仿宋"/>
          <w:b/>
          <w:bCs w:val="0"/>
          <w:szCs w:val="24"/>
        </w:rPr>
      </w:pPr>
      <w:r>
        <w:rPr>
          <w:rFonts w:hint="eastAsia" w:ascii="仿宋" w:hAnsi="仿宋" w:eastAsia="仿宋" w:cs="仿宋"/>
          <w:szCs w:val="24"/>
          <w:u w:val="single"/>
        </w:rPr>
        <w:t xml:space="preserve">                                                                           </w:t>
      </w:r>
    </w:p>
    <w:p w14:paraId="30AE7344">
      <w:pPr>
        <w:pStyle w:val="33"/>
        <w:numPr>
          <w:ilvl w:val="0"/>
          <w:numId w:val="0"/>
        </w:numPr>
        <w:spacing w:before="161" w:after="161" w:line="360" w:lineRule="auto"/>
        <w:rPr>
          <w:rFonts w:ascii="仿宋" w:hAnsi="仿宋" w:eastAsia="仿宋" w:cs="仿宋"/>
          <w:b/>
          <w:bCs w:val="0"/>
          <w:szCs w:val="24"/>
        </w:rPr>
      </w:pPr>
      <w:r>
        <w:rPr>
          <w:rFonts w:hint="eastAsia" w:ascii="仿宋" w:hAnsi="仿宋" w:eastAsia="仿宋" w:cs="仿宋"/>
          <w:szCs w:val="24"/>
          <w:u w:val="single"/>
        </w:rPr>
        <w:t xml:space="preserve">                            </w:t>
      </w:r>
      <w:r>
        <w:rPr>
          <w:rFonts w:hint="eastAsia" w:ascii="仿宋" w:hAnsi="仿宋" w:eastAsia="仿宋" w:cs="仿宋"/>
          <w:szCs w:val="24"/>
          <w:u w:val="none"/>
        </w:rPr>
        <w:t>。</w:t>
      </w:r>
    </w:p>
    <w:p w14:paraId="64280B2F">
      <w:pPr>
        <w:pStyle w:val="38"/>
        <w:spacing w:after="40" w:line="360" w:lineRule="auto"/>
        <w:ind w:firstLine="480" w:firstLineChars="200"/>
        <w:rPr>
          <w:rFonts w:ascii="仿宋" w:hAnsi="仿宋" w:eastAsia="仿宋" w:cs="仿宋"/>
        </w:rPr>
      </w:pPr>
    </w:p>
    <w:p w14:paraId="0D927FF4">
      <w:pPr>
        <w:rPr>
          <w:rFonts w:ascii="宋体" w:hAnsi="宋体"/>
          <w:sz w:val="28"/>
          <w:szCs w:val="28"/>
        </w:rPr>
      </w:pPr>
      <w:r>
        <w:rPr>
          <w:rFonts w:ascii="宋体" w:hAnsi="宋体"/>
          <w:sz w:val="28"/>
          <w:szCs w:val="28"/>
        </w:rPr>
        <w:br w:type="page"/>
      </w:r>
    </w:p>
    <w:p w14:paraId="2C570CC2">
      <w:pPr>
        <w:pStyle w:val="2"/>
        <w:spacing w:after="161" w:afterLines="50" w:line="560" w:lineRule="exact"/>
        <w:jc w:val="center"/>
        <w:rPr>
          <w:rFonts w:ascii="黑体" w:hAnsi="黑体" w:eastAsia="黑体" w:cs="黑体"/>
          <w:b w:val="0"/>
          <w:bCs/>
          <w:sz w:val="30"/>
          <w:szCs w:val="30"/>
          <w:lang w:val="en-US"/>
        </w:rPr>
      </w:pPr>
      <w:r>
        <w:rPr>
          <w:rFonts w:hint="eastAsia" w:ascii="黑体" w:hAnsi="黑体" w:eastAsia="黑体" w:cs="黑体"/>
          <w:b w:val="0"/>
          <w:bCs/>
          <w:sz w:val="30"/>
          <w:szCs w:val="30"/>
          <w:lang w:val="en-US"/>
        </w:rPr>
        <w:t>第五章  协议条款及格式</w:t>
      </w:r>
    </w:p>
    <w:p w14:paraId="15BAA644">
      <w:pPr>
        <w:rPr>
          <w:rFonts w:ascii="仿宋" w:hAnsi="仿宋" w:eastAsia="仿宋" w:cs="仿宋"/>
          <w:sz w:val="28"/>
          <w:szCs w:val="28"/>
        </w:rPr>
      </w:pPr>
    </w:p>
    <w:p w14:paraId="30D92CCB">
      <w:pPr>
        <w:ind w:firstLine="560" w:firstLineChars="200"/>
        <w:rPr>
          <w:rFonts w:ascii="仿宋" w:hAnsi="仿宋" w:eastAsia="仿宋" w:cs="仿宋"/>
          <w:sz w:val="28"/>
          <w:szCs w:val="28"/>
        </w:rPr>
      </w:pPr>
      <w:r>
        <w:rPr>
          <w:rFonts w:hint="eastAsia" w:ascii="仿宋" w:hAnsi="仿宋" w:eastAsia="仿宋" w:cs="仿宋"/>
          <w:sz w:val="28"/>
          <w:szCs w:val="28"/>
        </w:rPr>
        <w:t>详见附后《物资采购协议》</w:t>
      </w:r>
    </w:p>
    <w:p w14:paraId="639EFFC2">
      <w:pPr>
        <w:rPr>
          <w:rFonts w:ascii="仿宋" w:hAnsi="仿宋" w:eastAsia="仿宋" w:cs="仿宋"/>
          <w:sz w:val="28"/>
          <w:szCs w:val="28"/>
        </w:rPr>
      </w:pPr>
    </w:p>
    <w:p w14:paraId="75918631">
      <w:pPr>
        <w:jc w:val="center"/>
        <w:rPr>
          <w:rFonts w:ascii="黑体" w:hAnsi="黑体" w:eastAsia="黑体" w:cs="黑体"/>
          <w:bCs/>
          <w:spacing w:val="-6"/>
          <w:sz w:val="30"/>
          <w:szCs w:val="30"/>
        </w:rPr>
      </w:pPr>
      <w:r>
        <w:rPr>
          <w:rFonts w:hint="eastAsia" w:ascii="黑体" w:hAnsi="黑体" w:eastAsia="黑体" w:cs="黑体"/>
          <w:bCs/>
          <w:spacing w:val="-6"/>
          <w:sz w:val="30"/>
          <w:szCs w:val="30"/>
        </w:rPr>
        <w:t>第六章  响应文件格式</w:t>
      </w:r>
    </w:p>
    <w:p w14:paraId="1250FE0F">
      <w:pPr>
        <w:rPr>
          <w:rFonts w:ascii="仿宋" w:hAnsi="仿宋" w:eastAsia="仿宋" w:cs="仿宋"/>
          <w:sz w:val="28"/>
          <w:szCs w:val="28"/>
        </w:rPr>
      </w:pPr>
    </w:p>
    <w:p w14:paraId="3E8370C7">
      <w:pPr>
        <w:rPr>
          <w:rFonts w:ascii="仿宋" w:hAnsi="仿宋" w:eastAsia="仿宋" w:cs="仿宋"/>
          <w:sz w:val="28"/>
          <w:szCs w:val="28"/>
        </w:rPr>
      </w:pPr>
    </w:p>
    <w:p w14:paraId="449EA785">
      <w:pPr>
        <w:rPr>
          <w:rFonts w:ascii="仿宋" w:hAnsi="仿宋" w:eastAsia="仿宋" w:cs="仿宋"/>
          <w:sz w:val="28"/>
          <w:szCs w:val="28"/>
        </w:rPr>
      </w:pPr>
    </w:p>
    <w:p w14:paraId="6CBF8291">
      <w:pPr>
        <w:rPr>
          <w:rFonts w:ascii="宋体" w:hAnsi="宋体"/>
          <w:sz w:val="28"/>
          <w:szCs w:val="28"/>
        </w:rPr>
      </w:pPr>
      <w:r>
        <w:rPr>
          <w:rFonts w:ascii="宋体" w:hAnsi="宋体"/>
          <w:sz w:val="28"/>
          <w:szCs w:val="28"/>
        </w:rPr>
        <w:br w:type="page"/>
      </w:r>
    </w:p>
    <w:p w14:paraId="0E0AF96D">
      <w:pPr>
        <w:jc w:val="center"/>
        <w:rPr>
          <w:rFonts w:hint="eastAsia" w:ascii="仿宋" w:hAnsi="仿宋" w:eastAsia="仿宋" w:cs="仿宋"/>
          <w:sz w:val="28"/>
          <w:szCs w:val="28"/>
          <w:lang w:val="en-US" w:eastAsia="zh-CN"/>
        </w:rPr>
      </w:pPr>
    </w:p>
    <w:p w14:paraId="17E8CB03">
      <w:pPr>
        <w:jc w:val="center"/>
        <w:rPr>
          <w:rFonts w:hint="eastAsia" w:ascii="仿宋" w:hAnsi="仿宋" w:eastAsia="仿宋" w:cs="仿宋"/>
          <w:sz w:val="28"/>
          <w:szCs w:val="28"/>
          <w:lang w:val="en-US" w:eastAsia="zh-CN"/>
        </w:rPr>
      </w:pPr>
    </w:p>
    <w:p w14:paraId="18A69432">
      <w:pPr>
        <w:jc w:val="center"/>
        <w:rPr>
          <w:rFonts w:hint="eastAsia" w:ascii="仿宋" w:hAnsi="仿宋" w:eastAsia="仿宋" w:cs="仿宋"/>
          <w:sz w:val="28"/>
          <w:szCs w:val="28"/>
          <w:lang w:val="en-US" w:eastAsia="zh-CN"/>
        </w:rPr>
      </w:pPr>
    </w:p>
    <w:p w14:paraId="08C7037C">
      <w:pPr>
        <w:jc w:val="center"/>
        <w:rPr>
          <w:rFonts w:hint="eastAsia" w:ascii="黑体" w:hAnsi="黑体" w:eastAsia="黑体" w:cs="黑体"/>
          <w:bCs/>
          <w:color w:val="000000"/>
          <w:sz w:val="36"/>
          <w:szCs w:val="36"/>
        </w:rPr>
      </w:pPr>
      <w:r>
        <w:rPr>
          <w:rFonts w:hint="eastAsia" w:ascii="黑体" w:hAnsi="黑体" w:eastAsia="黑体" w:cs="黑体"/>
          <w:b w:val="0"/>
          <w:bCs/>
          <w:color w:val="000000"/>
          <w:sz w:val="36"/>
          <w:szCs w:val="36"/>
          <w:u w:val="single"/>
          <w:lang w:val="en-US" w:eastAsia="zh-CN"/>
        </w:rPr>
        <w:t xml:space="preserve">        </w:t>
      </w:r>
      <w:r>
        <w:rPr>
          <w:rFonts w:hint="eastAsia" w:ascii="黑体" w:hAnsi="黑体" w:eastAsia="黑体" w:cs="黑体"/>
          <w:b w:val="0"/>
          <w:bCs/>
          <w:color w:val="000000"/>
          <w:sz w:val="36"/>
          <w:szCs w:val="36"/>
          <w:lang w:val="en-US" w:eastAsia="zh-CN"/>
        </w:rPr>
        <w:t>等物资</w:t>
      </w:r>
      <w:r>
        <w:rPr>
          <w:rFonts w:hint="eastAsia" w:ascii="黑体" w:hAnsi="黑体" w:eastAsia="黑体" w:cs="黑体"/>
          <w:b w:val="0"/>
          <w:bCs/>
          <w:color w:val="000000"/>
          <w:sz w:val="36"/>
          <w:szCs w:val="36"/>
        </w:rPr>
        <w:t>采购</w:t>
      </w:r>
    </w:p>
    <w:p w14:paraId="63AECAA8">
      <w:pPr>
        <w:jc w:val="center"/>
        <w:rPr>
          <w:rFonts w:ascii="仿宋" w:hAnsi="仿宋" w:eastAsia="仿宋" w:cs="仿宋"/>
          <w:sz w:val="20"/>
        </w:rPr>
      </w:pPr>
    </w:p>
    <w:p w14:paraId="105FEE29">
      <w:pPr>
        <w:jc w:val="center"/>
        <w:rPr>
          <w:rFonts w:ascii="仿宋" w:hAnsi="仿宋" w:eastAsia="仿宋" w:cs="仿宋"/>
          <w:sz w:val="20"/>
        </w:rPr>
      </w:pPr>
    </w:p>
    <w:p w14:paraId="24CBA6D2">
      <w:pPr>
        <w:jc w:val="center"/>
        <w:rPr>
          <w:rFonts w:ascii="仿宋" w:hAnsi="仿宋" w:eastAsia="仿宋" w:cs="仿宋"/>
          <w:sz w:val="20"/>
        </w:rPr>
      </w:pPr>
    </w:p>
    <w:p w14:paraId="74E550F6">
      <w:pPr>
        <w:jc w:val="center"/>
        <w:rPr>
          <w:rFonts w:ascii="仿宋" w:hAnsi="仿宋" w:eastAsia="仿宋" w:cs="仿宋"/>
          <w:sz w:val="20"/>
        </w:rPr>
      </w:pPr>
    </w:p>
    <w:p w14:paraId="6BA62DD3">
      <w:pPr>
        <w:jc w:val="center"/>
        <w:rPr>
          <w:rFonts w:ascii="仿宋" w:hAnsi="仿宋" w:eastAsia="仿宋" w:cs="仿宋"/>
          <w:sz w:val="20"/>
        </w:rPr>
      </w:pPr>
    </w:p>
    <w:p w14:paraId="59383C5D">
      <w:pPr>
        <w:jc w:val="center"/>
        <w:rPr>
          <w:rFonts w:ascii="仿宋" w:hAnsi="仿宋" w:eastAsia="仿宋" w:cs="仿宋"/>
          <w:sz w:val="20"/>
        </w:rPr>
      </w:pPr>
    </w:p>
    <w:p w14:paraId="44BACF27">
      <w:pPr>
        <w:rPr>
          <w:rFonts w:ascii="仿宋" w:hAnsi="仿宋" w:eastAsia="仿宋" w:cs="仿宋"/>
          <w:sz w:val="20"/>
        </w:rPr>
      </w:pPr>
    </w:p>
    <w:p w14:paraId="401BD53E">
      <w:pPr>
        <w:jc w:val="center"/>
        <w:rPr>
          <w:rFonts w:ascii="黑体" w:hAnsi="黑体" w:eastAsia="黑体" w:cs="黑体"/>
          <w:bCs/>
          <w:color w:val="000000"/>
          <w:sz w:val="44"/>
          <w:szCs w:val="44"/>
        </w:rPr>
      </w:pPr>
    </w:p>
    <w:p w14:paraId="5FE88E39">
      <w:pPr>
        <w:jc w:val="center"/>
        <w:rPr>
          <w:rFonts w:ascii="仿宋" w:hAnsi="仿宋" w:eastAsia="仿宋" w:cs="仿宋"/>
          <w:spacing w:val="283"/>
          <w:sz w:val="36"/>
          <w:szCs w:val="36"/>
        </w:rPr>
      </w:pPr>
      <w:r>
        <w:rPr>
          <w:rFonts w:hint="eastAsia" w:ascii="黑体" w:hAnsi="黑体" w:eastAsia="黑体" w:cs="黑体"/>
          <w:bCs/>
          <w:color w:val="000000"/>
          <w:sz w:val="36"/>
          <w:szCs w:val="36"/>
        </w:rPr>
        <w:t>响 应 文 件</w:t>
      </w:r>
    </w:p>
    <w:p w14:paraId="361125CD">
      <w:pPr>
        <w:rPr>
          <w:rFonts w:ascii="仿宋" w:hAnsi="仿宋" w:eastAsia="仿宋" w:cs="仿宋"/>
          <w:sz w:val="28"/>
          <w:szCs w:val="28"/>
        </w:rPr>
      </w:pPr>
    </w:p>
    <w:p w14:paraId="0FF43E35">
      <w:pPr>
        <w:rPr>
          <w:rFonts w:ascii="仿宋" w:hAnsi="仿宋" w:eastAsia="仿宋" w:cs="仿宋"/>
          <w:sz w:val="28"/>
          <w:szCs w:val="28"/>
        </w:rPr>
      </w:pPr>
    </w:p>
    <w:p w14:paraId="4D043377">
      <w:pPr>
        <w:rPr>
          <w:rFonts w:ascii="仿宋" w:hAnsi="仿宋" w:eastAsia="仿宋" w:cs="仿宋"/>
          <w:sz w:val="28"/>
          <w:szCs w:val="28"/>
        </w:rPr>
      </w:pPr>
    </w:p>
    <w:p w14:paraId="72480518">
      <w:pPr>
        <w:rPr>
          <w:rFonts w:ascii="仿宋" w:hAnsi="仿宋" w:eastAsia="仿宋" w:cs="仿宋"/>
          <w:sz w:val="28"/>
          <w:szCs w:val="28"/>
        </w:rPr>
      </w:pPr>
    </w:p>
    <w:p w14:paraId="0441C36E">
      <w:pPr>
        <w:rPr>
          <w:rFonts w:ascii="仿宋" w:hAnsi="仿宋" w:eastAsia="仿宋" w:cs="仿宋"/>
          <w:sz w:val="28"/>
          <w:szCs w:val="28"/>
        </w:rPr>
      </w:pPr>
    </w:p>
    <w:p w14:paraId="1A53CD66">
      <w:pPr>
        <w:rPr>
          <w:rFonts w:ascii="仿宋" w:hAnsi="仿宋" w:eastAsia="仿宋" w:cs="仿宋"/>
          <w:sz w:val="28"/>
          <w:szCs w:val="28"/>
        </w:rPr>
      </w:pPr>
    </w:p>
    <w:p w14:paraId="5D0187F5">
      <w:pPr>
        <w:rPr>
          <w:rFonts w:ascii="仿宋" w:hAnsi="仿宋" w:eastAsia="仿宋" w:cs="仿宋"/>
          <w:sz w:val="28"/>
          <w:szCs w:val="28"/>
        </w:rPr>
      </w:pPr>
    </w:p>
    <w:p w14:paraId="21A13812">
      <w:pPr>
        <w:ind w:firstLine="1124" w:firstLineChars="400"/>
        <w:rPr>
          <w:rFonts w:ascii="仿宋" w:hAnsi="仿宋" w:eastAsia="仿宋" w:cs="仿宋"/>
          <w:sz w:val="28"/>
          <w:szCs w:val="28"/>
          <w:u w:val="single"/>
        </w:rPr>
      </w:pPr>
      <w:r>
        <w:rPr>
          <w:rFonts w:hint="eastAsia" w:ascii="仿宋" w:hAnsi="仿宋" w:eastAsia="仿宋" w:cs="仿宋"/>
          <w:b/>
          <w:bCs/>
          <w:sz w:val="28"/>
          <w:szCs w:val="28"/>
        </w:rPr>
        <w:t>供应商：</w:t>
      </w:r>
      <w:r>
        <w:rPr>
          <w:rFonts w:hint="eastAsia" w:ascii="仿宋" w:hAnsi="仿宋" w:eastAsia="仿宋" w:cs="仿宋"/>
          <w:sz w:val="28"/>
          <w:szCs w:val="28"/>
          <w:u w:val="single"/>
        </w:rPr>
        <w:t xml:space="preserve">                                  </w:t>
      </w:r>
      <w:r>
        <w:rPr>
          <w:rFonts w:hint="eastAsia" w:ascii="仿宋" w:hAnsi="仿宋" w:eastAsia="仿宋" w:cs="仿宋"/>
          <w:sz w:val="28"/>
          <w:szCs w:val="28"/>
        </w:rPr>
        <w:t>（单位公章）</w:t>
      </w:r>
    </w:p>
    <w:p w14:paraId="12B22671">
      <w:pPr>
        <w:ind w:firstLine="1124" w:firstLineChars="400"/>
        <w:rPr>
          <w:rFonts w:ascii="仿宋" w:hAnsi="仿宋" w:eastAsia="仿宋" w:cs="仿宋"/>
          <w:sz w:val="28"/>
          <w:szCs w:val="28"/>
        </w:rPr>
      </w:pPr>
      <w:r>
        <w:rPr>
          <w:rFonts w:hint="eastAsia" w:ascii="仿宋" w:hAnsi="仿宋" w:eastAsia="仿宋" w:cs="仿宋"/>
          <w:b/>
          <w:bCs/>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（签字）</w:t>
      </w:r>
    </w:p>
    <w:p w14:paraId="3837042C">
      <w:pPr>
        <w:jc w:val="center"/>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47E381B9">
      <w:pPr>
        <w:spacing w:line="360" w:lineRule="auto"/>
        <w:jc w:val="center"/>
        <w:rPr>
          <w:rFonts w:ascii="宋体" w:hAnsi="宋体"/>
          <w:sz w:val="28"/>
          <w:szCs w:val="28"/>
        </w:rPr>
      </w:pPr>
    </w:p>
    <w:p w14:paraId="591060CF">
      <w:pPr>
        <w:rPr>
          <w:rFonts w:ascii="宋体" w:hAnsi="宋体"/>
        </w:rPr>
      </w:pPr>
    </w:p>
    <w:p w14:paraId="60BB7700">
      <w:pPr>
        <w:rPr>
          <w:rFonts w:ascii="宋体" w:hAnsi="宋体"/>
          <w:b/>
          <w:bCs/>
          <w:sz w:val="36"/>
          <w:szCs w:val="36"/>
        </w:rPr>
      </w:pPr>
      <w:r>
        <w:rPr>
          <w:rFonts w:hint="eastAsia" w:ascii="宋体" w:hAnsi="宋体"/>
          <w:b/>
          <w:bCs/>
          <w:sz w:val="36"/>
          <w:szCs w:val="36"/>
        </w:rPr>
        <w:br w:type="page"/>
      </w:r>
    </w:p>
    <w:p w14:paraId="6C75E89A">
      <w:pPr>
        <w:numPr>
          <w:ilvl w:val="0"/>
          <w:numId w:val="3"/>
        </w:numPr>
        <w:ind w:left="420" w:leftChars="0" w:hanging="420" w:firstLineChars="0"/>
        <w:rPr>
          <w:rFonts w:hint="default" w:ascii="黑体" w:hAnsi="黑体" w:cs="黑体"/>
          <w:b/>
          <w:bCs w:val="0"/>
          <w:sz w:val="30"/>
          <w:szCs w:val="30"/>
          <w:lang w:val="en-US" w:eastAsia="zh-CN"/>
        </w:rPr>
      </w:pPr>
      <w:r>
        <w:rPr>
          <w:rFonts w:hint="eastAsia" w:ascii="黑体" w:hAnsi="黑体" w:cs="黑体"/>
          <w:b/>
          <w:bCs w:val="0"/>
          <w:sz w:val="32"/>
          <w:szCs w:val="32"/>
          <w:lang w:val="en-US" w:eastAsia="zh-CN"/>
        </w:rPr>
        <w:t>响应文件需要提交的内容主要包括：</w:t>
      </w:r>
    </w:p>
    <w:p w14:paraId="7ED87795">
      <w:pPr>
        <w:pStyle w:val="3"/>
        <w:spacing w:before="0" w:after="0" w:line="560" w:lineRule="exact"/>
        <w:jc w:val="lef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kern w:val="2"/>
          <w:sz w:val="30"/>
          <w:szCs w:val="30"/>
          <w:u w:val="none"/>
          <w:lang w:val="en-US" w:eastAsia="zh-CN" w:bidi="ar-SA"/>
        </w:rPr>
        <w:t>一、企业业绩</w:t>
      </w:r>
    </w:p>
    <w:p w14:paraId="69BED7AE">
      <w:pPr>
        <w:pStyle w:val="3"/>
        <w:spacing w:before="0" w:after="0" w:line="560" w:lineRule="exact"/>
        <w:ind w:firstLine="480" w:firstLineChars="200"/>
        <w:jc w:val="left"/>
        <w:rPr>
          <w:rFonts w:hint="eastAsia" w:ascii="仿宋_GB2312" w:hAnsi="仿宋_GB2312" w:eastAsia="仿宋_GB2312" w:cs="仿宋_GB2312"/>
          <w:b w:val="0"/>
          <w:bCs/>
          <w:sz w:val="28"/>
          <w:szCs w:val="28"/>
          <w:highlight w:val="none"/>
          <w:lang w:eastAsia="zh-CN"/>
        </w:rPr>
      </w:pPr>
      <w:r>
        <w:rPr>
          <w:rFonts w:hint="eastAsia" w:ascii="仿宋_GB2312" w:hAnsi="仿宋_GB2312" w:eastAsia="仿宋_GB2312" w:cs="仿宋_GB2312"/>
          <w:b w:val="0"/>
          <w:bCs/>
          <w:sz w:val="24"/>
          <w:szCs w:val="24"/>
          <w:lang w:val="en-US" w:eastAsia="zh-CN"/>
        </w:rPr>
        <w:t>要求提交</w:t>
      </w:r>
      <w:r>
        <w:rPr>
          <w:rFonts w:hint="eastAsia" w:ascii="仿宋_GB2312" w:hAnsi="仿宋_GB2312" w:eastAsia="仿宋_GB2312" w:cs="仿宋_GB2312"/>
          <w:b w:val="0"/>
          <w:bCs/>
          <w:sz w:val="24"/>
          <w:szCs w:val="24"/>
        </w:rPr>
        <w:t>近</w:t>
      </w:r>
      <w:r>
        <w:rPr>
          <w:rFonts w:hint="eastAsia" w:ascii="仿宋_GB2312" w:hAnsi="仿宋_GB2312" w:eastAsia="仿宋_GB2312" w:cs="仿宋_GB2312"/>
          <w:b w:val="0"/>
          <w:bCs/>
          <w:sz w:val="24"/>
          <w:szCs w:val="24"/>
          <w:u w:val="single"/>
        </w:rPr>
        <w:t xml:space="preserve"> 2 </w:t>
      </w:r>
      <w:r>
        <w:rPr>
          <w:rFonts w:hint="eastAsia" w:ascii="仿宋_GB2312" w:hAnsi="仿宋_GB2312" w:eastAsia="仿宋_GB2312" w:cs="仿宋_GB2312"/>
          <w:b w:val="0"/>
          <w:bCs/>
          <w:sz w:val="24"/>
          <w:szCs w:val="24"/>
        </w:rPr>
        <w:t>年签订的合同扫描件， 需提供合同首页、合同金额页、供货范围页和盖章页。</w:t>
      </w:r>
      <w:r>
        <w:rPr>
          <w:rFonts w:hint="eastAsia" w:ascii="仿宋_GB2312" w:hAnsi="仿宋_GB2312" w:eastAsia="仿宋_GB2312" w:cs="仿宋_GB2312"/>
          <w:b w:val="0"/>
          <w:bCs/>
          <w:sz w:val="24"/>
          <w:szCs w:val="24"/>
          <w:highlight w:val="none"/>
          <w:lang w:eastAsia="zh-CN"/>
        </w:rPr>
        <w:t>（</w:t>
      </w:r>
      <w:r>
        <w:rPr>
          <w:rFonts w:hint="eastAsia" w:ascii="仿宋_GB2312" w:hAnsi="仿宋_GB2312" w:eastAsia="仿宋_GB2312" w:cs="仿宋_GB2312"/>
          <w:b w:val="0"/>
          <w:bCs/>
          <w:sz w:val="24"/>
          <w:szCs w:val="24"/>
          <w:highlight w:val="none"/>
          <w:lang w:val="en-US" w:eastAsia="zh-CN"/>
        </w:rPr>
        <w:t>最多提交2份即可</w:t>
      </w:r>
      <w:r>
        <w:rPr>
          <w:rFonts w:hint="eastAsia" w:ascii="仿宋_GB2312" w:hAnsi="仿宋_GB2312" w:eastAsia="仿宋_GB2312" w:cs="仿宋_GB2312"/>
          <w:b w:val="0"/>
          <w:bCs/>
          <w:sz w:val="24"/>
          <w:szCs w:val="24"/>
          <w:highlight w:val="none"/>
          <w:lang w:eastAsia="zh-CN"/>
        </w:rPr>
        <w:t>）</w:t>
      </w:r>
    </w:p>
    <w:p w14:paraId="13A19C8F">
      <w:pPr>
        <w:pStyle w:val="3"/>
        <w:spacing w:before="0" w:after="0" w:line="560" w:lineRule="exact"/>
        <w:jc w:val="left"/>
        <w:rPr>
          <w:rFonts w:hint="eastAsia"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二、营业执照</w:t>
      </w:r>
    </w:p>
    <w:p w14:paraId="34721144">
      <w:pPr>
        <w:pStyle w:val="3"/>
        <w:spacing w:before="0" w:after="0" w:line="560" w:lineRule="exact"/>
        <w:ind w:firstLine="480" w:firstLineChars="200"/>
        <w:jc w:val="left"/>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lang w:val="en-US" w:eastAsia="zh-CN"/>
        </w:rPr>
        <w:t>提交营业执照注册资本且独立法人资格（有效期</w:t>
      </w:r>
      <w:r>
        <w:rPr>
          <w:rFonts w:hint="eastAsia" w:ascii="仿宋_GB2312" w:hAnsi="仿宋_GB2312" w:eastAsia="仿宋_GB2312" w:cs="仿宋_GB2312"/>
          <w:b w:val="0"/>
          <w:bCs/>
          <w:sz w:val="24"/>
          <w:szCs w:val="24"/>
          <w:highlight w:val="none"/>
          <w:lang w:val="en-US" w:eastAsia="zh-CN"/>
        </w:rPr>
        <w:t>内），注册资金在500万元（含）以上。（要求企业有实缴注册资本、参保人员及实际生产经营场所）</w:t>
      </w:r>
    </w:p>
    <w:p w14:paraId="74C3A9CA">
      <w:pPr>
        <w:pStyle w:val="3"/>
        <w:spacing w:before="0" w:after="0" w:line="560" w:lineRule="exact"/>
        <w:jc w:val="left"/>
        <w:rPr>
          <w:rFonts w:hint="eastAsia"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三、授权委托书</w:t>
      </w:r>
    </w:p>
    <w:p w14:paraId="72820376">
      <w:pPr>
        <w:numPr>
          <w:ilvl w:val="0"/>
          <w:numId w:val="0"/>
        </w:numPr>
        <w:ind w:firstLine="480" w:firstLineChars="2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格式见附件1（要求授权委托人需有该企业社保证明）</w:t>
      </w:r>
    </w:p>
    <w:p w14:paraId="31BAD1BA">
      <w:pPr>
        <w:pStyle w:val="19"/>
        <w:numPr>
          <w:ilvl w:val="0"/>
          <w:numId w:val="0"/>
        </w:numPr>
        <w:spacing w:before="0" w:beforeAutospacing="0" w:after="0" w:afterAutospacing="0"/>
        <w:jc w:val="both"/>
        <w:rPr>
          <w:rFonts w:hint="eastAsia"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四、经销商授权</w:t>
      </w:r>
    </w:p>
    <w:p w14:paraId="3E32D5F4">
      <w:pPr>
        <w:numPr>
          <w:ilvl w:val="0"/>
          <w:numId w:val="0"/>
        </w:numPr>
        <w:ind w:firstLine="480" w:firstLineChars="2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如为经销商还应提供有效的品牌经销商授权书</w:t>
      </w:r>
    </w:p>
    <w:p w14:paraId="20595582">
      <w:pPr>
        <w:pStyle w:val="10"/>
        <w:rPr>
          <w:rFonts w:hint="eastAsia"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五、样品证明文件</w:t>
      </w:r>
    </w:p>
    <w:p w14:paraId="72DE952B">
      <w:pPr>
        <w:pStyle w:val="10"/>
        <w:ind w:firstLine="480" w:firstLineChars="200"/>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要求提供有效的检测报告、合格证、强制性认证等。</w:t>
      </w:r>
    </w:p>
    <w:p w14:paraId="7ACD0492">
      <w:pPr>
        <w:pStyle w:val="10"/>
        <w:numPr>
          <w:ilvl w:val="0"/>
          <w:numId w:val="4"/>
        </w:numPr>
        <w:rPr>
          <w:rFonts w:hint="default"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完税证明</w:t>
      </w:r>
    </w:p>
    <w:p w14:paraId="0E68B0F8">
      <w:pPr>
        <w:pStyle w:val="10"/>
        <w:numPr>
          <w:ilvl w:val="0"/>
          <w:numId w:val="0"/>
        </w:numPr>
        <w:ind w:firstLine="480" w:firstLineChars="200"/>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要求提交近半年的完税证明</w:t>
      </w:r>
    </w:p>
    <w:p w14:paraId="2B8FAE87">
      <w:pPr>
        <w:pStyle w:val="10"/>
        <w:rPr>
          <w:rFonts w:hint="eastAsia"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七、响应函（格式）</w:t>
      </w:r>
    </w:p>
    <w:p w14:paraId="32864830">
      <w:pPr>
        <w:numPr>
          <w:ilvl w:val="0"/>
          <w:numId w:val="0"/>
        </w:numPr>
        <w:ind w:firstLine="480" w:firstLineChars="2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格式见附件2</w:t>
      </w:r>
    </w:p>
    <w:p w14:paraId="58761470">
      <w:pPr>
        <w:pStyle w:val="19"/>
        <w:spacing w:before="0" w:beforeAutospacing="0" w:after="0" w:afterAutospacing="0"/>
        <w:jc w:val="both"/>
        <w:rPr>
          <w:rFonts w:hint="eastAsia"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八、样品承诺函</w:t>
      </w:r>
    </w:p>
    <w:p w14:paraId="39DE7F70">
      <w:pPr>
        <w:numPr>
          <w:ilvl w:val="0"/>
          <w:numId w:val="0"/>
        </w:numPr>
        <w:ind w:firstLine="480" w:firstLineChars="2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格式见附件3</w:t>
      </w:r>
    </w:p>
    <w:p w14:paraId="11384690">
      <w:pPr>
        <w:pStyle w:val="19"/>
        <w:numPr>
          <w:ilvl w:val="0"/>
          <w:numId w:val="5"/>
        </w:numPr>
        <w:spacing w:before="0" w:beforeAutospacing="0" w:after="0" w:afterAutospacing="0"/>
        <w:jc w:val="both"/>
        <w:rPr>
          <w:rFonts w:hint="eastAsia" w:ascii="仿宋_GB2312" w:hAnsi="仿宋_GB2312" w:eastAsia="仿宋_GB2312" w:cs="仿宋_GB2312"/>
          <w:b/>
          <w:bCs w:val="0"/>
          <w:kern w:val="2"/>
          <w:sz w:val="30"/>
          <w:szCs w:val="30"/>
          <w:u w:val="none"/>
          <w:lang w:val="en-US" w:eastAsia="zh-CN" w:bidi="ar-SA"/>
        </w:rPr>
      </w:pPr>
      <w:r>
        <w:rPr>
          <w:rFonts w:hint="eastAsia" w:ascii="仿宋_GB2312" w:hAnsi="仿宋_GB2312" w:eastAsia="仿宋_GB2312" w:cs="仿宋_GB2312"/>
          <w:b/>
          <w:bCs w:val="0"/>
          <w:kern w:val="2"/>
          <w:sz w:val="30"/>
          <w:szCs w:val="30"/>
          <w:u w:val="none"/>
          <w:lang w:val="en-US" w:eastAsia="zh-CN" w:bidi="ar-SA"/>
        </w:rPr>
        <w:t>企业三体系认证</w:t>
      </w:r>
    </w:p>
    <w:p w14:paraId="5AF780CA">
      <w:pPr>
        <w:pStyle w:val="19"/>
        <w:numPr>
          <w:ilvl w:val="0"/>
          <w:numId w:val="0"/>
        </w:numPr>
        <w:spacing w:before="0" w:beforeAutospacing="0" w:after="0" w:afterAutospacing="0"/>
        <w:jc w:val="both"/>
        <w:rPr>
          <w:rFonts w:hint="default" w:ascii="仿宋_GB2312" w:hAnsi="仿宋_GB2312" w:eastAsia="仿宋_GB2312" w:cs="仿宋_GB2312"/>
          <w:kern w:val="2"/>
          <w:sz w:val="24"/>
          <w:szCs w:val="24"/>
          <w:highlight w:val="yellow"/>
          <w:lang w:val="en-US" w:eastAsia="zh-CN" w:bidi="ar-SA"/>
        </w:rPr>
      </w:pPr>
      <w:r>
        <w:rPr>
          <w:rFonts w:hint="eastAsia" w:ascii="仿宋_GB2312" w:hAnsi="仿宋_GB2312" w:eastAsia="仿宋_GB2312" w:cs="仿宋_GB2312"/>
          <w:b/>
          <w:bCs w:val="0"/>
          <w:kern w:val="2"/>
          <w:sz w:val="30"/>
          <w:szCs w:val="30"/>
          <w:u w:val="none"/>
          <w:lang w:val="en-US" w:eastAsia="zh-CN" w:bidi="ar-SA"/>
        </w:rPr>
        <w:t xml:space="preserve">  </w:t>
      </w:r>
      <w:r>
        <w:rPr>
          <w:rFonts w:hint="eastAsia" w:ascii="仿宋_GB2312" w:hAnsi="仿宋_GB2312" w:eastAsia="仿宋_GB2312" w:cs="仿宋_GB2312"/>
          <w:b/>
          <w:bCs w:val="0"/>
          <w:kern w:val="2"/>
          <w:sz w:val="30"/>
          <w:szCs w:val="30"/>
          <w:highlight w:val="none"/>
          <w:u w:val="none"/>
          <w:lang w:val="en-US" w:eastAsia="zh-CN" w:bidi="ar-SA"/>
        </w:rPr>
        <w:t xml:space="preserve"> </w:t>
      </w:r>
      <w:r>
        <w:rPr>
          <w:rFonts w:hint="eastAsia" w:ascii="仿宋_GB2312" w:hAnsi="仿宋_GB2312" w:eastAsia="仿宋_GB2312" w:cs="仿宋_GB2312"/>
          <w:kern w:val="2"/>
          <w:sz w:val="24"/>
          <w:szCs w:val="24"/>
          <w:highlight w:val="none"/>
          <w:lang w:val="en-US" w:eastAsia="zh-CN" w:bidi="ar-SA"/>
        </w:rPr>
        <w:t>如有，提交本企业的三体系认证。</w:t>
      </w:r>
    </w:p>
    <w:p w14:paraId="7D45C334">
      <w:pPr>
        <w:pStyle w:val="10"/>
        <w:rPr>
          <w:rFonts w:hint="eastAsia" w:ascii="仿宋_GB2312" w:hAnsi="仿宋_GB2312" w:eastAsia="仿宋_GB2312" w:cs="仿宋_GB2312"/>
          <w:b/>
          <w:bCs w:val="0"/>
          <w:kern w:val="2"/>
          <w:sz w:val="30"/>
          <w:szCs w:val="30"/>
          <w:lang w:val="en-US" w:eastAsia="zh-CN" w:bidi="ar-SA"/>
        </w:rPr>
      </w:pPr>
      <w:r>
        <w:rPr>
          <w:rFonts w:hint="eastAsia" w:ascii="仿宋_GB2312" w:hAnsi="仿宋_GB2312" w:eastAsia="仿宋_GB2312" w:cs="仿宋_GB2312"/>
          <w:b/>
          <w:bCs w:val="0"/>
          <w:kern w:val="2"/>
          <w:sz w:val="30"/>
          <w:szCs w:val="30"/>
          <w:lang w:val="en-US" w:eastAsia="zh-CN" w:bidi="ar-SA"/>
        </w:rPr>
        <w:t>十、材料询价（报价）表</w:t>
      </w:r>
    </w:p>
    <w:p w14:paraId="47BF51DC">
      <w:pPr>
        <w:pStyle w:val="10"/>
        <w:ind w:firstLine="480" w:firstLineChars="200"/>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按照询价要求填写报价并加盖公章，详见附件4</w:t>
      </w:r>
    </w:p>
    <w:p w14:paraId="6730DD76">
      <w:pPr>
        <w:pStyle w:val="10"/>
        <w:rPr>
          <w:rFonts w:hint="eastAsia" w:eastAsia="宋体"/>
          <w:lang w:val="en-US" w:eastAsia="zh-CN"/>
        </w:rPr>
        <w:sectPr>
          <w:pgSz w:w="11906" w:h="16838"/>
          <w:pgMar w:top="1304" w:right="1361" w:bottom="1304" w:left="1361" w:header="851" w:footer="992" w:gutter="0"/>
          <w:cols w:space="0" w:num="1"/>
          <w:titlePg/>
          <w:docGrid w:type="lines" w:linePitch="323" w:charSpace="0"/>
        </w:sectPr>
      </w:pPr>
      <w:r>
        <w:rPr>
          <w:rFonts w:hint="eastAsia"/>
          <w:lang w:val="en-US" w:eastAsia="zh-CN"/>
        </w:rPr>
        <w:t xml:space="preserve"> </w:t>
      </w:r>
    </w:p>
    <w:p w14:paraId="7B9C27E3">
      <w:pPr>
        <w:pStyle w:val="33"/>
        <w:numPr>
          <w:ilvl w:val="0"/>
          <w:numId w:val="0"/>
        </w:numPr>
        <w:spacing w:before="161" w:after="161" w:line="360" w:lineRule="auto"/>
        <w:jc w:val="left"/>
        <w:rPr>
          <w:rFonts w:hint="default" w:ascii="宋体" w:hAnsi="宋体" w:eastAsia="宋体" w:cs="宋体"/>
          <w:b/>
          <w:bCs w:val="0"/>
          <w:sz w:val="28"/>
          <w:szCs w:val="28"/>
          <w:lang w:val="en-US" w:eastAsia="zh-CN"/>
        </w:rPr>
      </w:pPr>
      <w:r>
        <w:rPr>
          <w:rFonts w:hint="eastAsia" w:ascii="宋体" w:hAnsi="宋体" w:cs="宋体"/>
          <w:b/>
          <w:bCs w:val="0"/>
          <w:sz w:val="28"/>
          <w:szCs w:val="28"/>
          <w:lang w:val="en-US" w:eastAsia="zh-CN"/>
        </w:rPr>
        <w:t>附件1</w:t>
      </w:r>
    </w:p>
    <w:p w14:paraId="1BF6171B">
      <w:pPr>
        <w:pStyle w:val="33"/>
        <w:numPr>
          <w:ilvl w:val="0"/>
          <w:numId w:val="0"/>
        </w:numPr>
        <w:spacing w:before="161" w:after="161" w:line="360" w:lineRule="auto"/>
        <w:jc w:val="center"/>
        <w:rPr>
          <w:rFonts w:ascii="仿宋" w:hAnsi="仿宋" w:eastAsia="仿宋" w:cs="仿宋"/>
          <w:b/>
          <w:bCs w:val="0"/>
          <w:sz w:val="32"/>
          <w:szCs w:val="32"/>
        </w:rPr>
      </w:pPr>
      <w:r>
        <w:rPr>
          <w:rFonts w:hint="eastAsia" w:ascii="宋体" w:hAnsi="宋体" w:cs="宋体"/>
          <w:b/>
          <w:bCs w:val="0"/>
          <w:sz w:val="32"/>
          <w:szCs w:val="32"/>
        </w:rPr>
        <w:t>授权委托书</w:t>
      </w:r>
    </w:p>
    <w:p w14:paraId="7FF9C57B">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兹委托</w:t>
      </w:r>
      <w:r>
        <w:rPr>
          <w:rFonts w:hint="eastAsia" w:ascii="仿宋_GB2312" w:hAnsi="仿宋_GB2312" w:eastAsia="仿宋_GB2312" w:cs="仿宋_GB2312"/>
          <w:kern w:val="2"/>
          <w:sz w:val="24"/>
          <w:szCs w:val="24"/>
          <w:u w:val="single"/>
        </w:rPr>
        <w:t xml:space="preserve">           </w:t>
      </w:r>
      <w:r>
        <w:rPr>
          <w:rFonts w:hint="eastAsia" w:ascii="仿宋_GB2312" w:hAnsi="仿宋_GB2312" w:eastAsia="仿宋_GB2312" w:cs="仿宋_GB2312"/>
          <w:kern w:val="2"/>
          <w:sz w:val="24"/>
          <w:szCs w:val="24"/>
        </w:rPr>
        <w:t xml:space="preserve">代理我方，与 </w:t>
      </w:r>
      <w:r>
        <w:rPr>
          <w:rFonts w:hint="eastAsia" w:ascii="仿宋_GB2312" w:hAnsi="仿宋_GB2312" w:eastAsia="仿宋_GB2312" w:cs="仿宋_GB2312"/>
          <w:kern w:val="2"/>
          <w:sz w:val="24"/>
          <w:szCs w:val="24"/>
          <w:u w:val="single"/>
        </w:rPr>
        <w:t xml:space="preserve">北京北方世纪建筑装饰工程有限公司 </w:t>
      </w:r>
      <w:r>
        <w:rPr>
          <w:rFonts w:hint="eastAsia" w:ascii="仿宋_GB2312" w:hAnsi="仿宋_GB2312" w:eastAsia="仿宋_GB2312" w:cs="仿宋_GB2312"/>
          <w:kern w:val="2"/>
          <w:sz w:val="24"/>
          <w:szCs w:val="24"/>
        </w:rPr>
        <w:t>依法签订 《物资材料采购协议》，受托人在行使本委托书下的委托事项，由我方负责执行，对受托人行为承担全部法律责任。</w:t>
      </w:r>
    </w:p>
    <w:p w14:paraId="33800CE6">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本委托书有效期限自合同签订至协议内容执行完毕。</w:t>
      </w:r>
    </w:p>
    <w:p w14:paraId="143E9C45">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授予代理权如下：</w:t>
      </w:r>
    </w:p>
    <w:p w14:paraId="5A2E35C8">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1、代理我方进行谈判，商定协议内容，作为我方代理人在协议上签字。</w:t>
      </w:r>
    </w:p>
    <w:p w14:paraId="36D9D28D">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仿宋_GB2312" w:hAnsi="仿宋_GB2312" w:eastAsia="仿宋_GB2312" w:cs="仿宋_GB2312"/>
          <w:kern w:val="2"/>
          <w:sz w:val="24"/>
          <w:szCs w:val="24"/>
          <w:u w:val="single"/>
        </w:rPr>
      </w:pPr>
      <w:r>
        <w:rPr>
          <w:rFonts w:hint="eastAsia" w:ascii="仿宋_GB2312" w:hAnsi="仿宋_GB2312" w:eastAsia="仿宋_GB2312" w:cs="仿宋_GB2312"/>
          <w:kern w:val="2"/>
          <w:sz w:val="24"/>
          <w:szCs w:val="24"/>
        </w:rPr>
        <w:t>2、</w:t>
      </w:r>
      <w:r>
        <w:rPr>
          <w:rFonts w:hint="eastAsia" w:ascii="仿宋_GB2312" w:hAnsi="仿宋_GB2312" w:eastAsia="仿宋_GB2312" w:cs="仿宋_GB2312"/>
          <w:kern w:val="2"/>
          <w:sz w:val="24"/>
          <w:szCs w:val="24"/>
          <w:u w:val="single"/>
        </w:rPr>
        <w:t xml:space="preserve">                         /                          </w:t>
      </w:r>
      <w:r>
        <w:rPr>
          <w:rFonts w:hint="eastAsia" w:ascii="仿宋_GB2312" w:hAnsi="仿宋_GB2312" w:eastAsia="仿宋_GB2312" w:cs="仿宋_GB2312"/>
          <w:kern w:val="2"/>
          <w:sz w:val="24"/>
          <w:szCs w:val="24"/>
        </w:rPr>
        <w:t>。</w:t>
      </w:r>
    </w:p>
    <w:p w14:paraId="1DB02662">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仿宋_GB2312" w:hAnsi="仿宋_GB2312" w:eastAsia="仿宋_GB2312" w:cs="仿宋_GB2312"/>
          <w:kern w:val="2"/>
          <w:sz w:val="24"/>
          <w:szCs w:val="24"/>
        </w:rPr>
      </w:pPr>
    </w:p>
    <w:p w14:paraId="6592836B">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 xml:space="preserve">法定代表人（签字）：           </w:t>
      </w:r>
    </w:p>
    <w:p w14:paraId="19E92B3C">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 xml:space="preserve">授权代表人（签字）：           </w:t>
      </w:r>
    </w:p>
    <w:p w14:paraId="28757799">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仿宋_GB2312" w:hAnsi="仿宋_GB2312" w:eastAsia="仿宋_GB2312" w:cs="仿宋_GB2312"/>
          <w:kern w:val="2"/>
          <w:sz w:val="24"/>
          <w:szCs w:val="24"/>
        </w:rPr>
      </w:pPr>
    </w:p>
    <w:p w14:paraId="087860CE">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 xml:space="preserve">委托单位（盖章）：                  </w:t>
      </w:r>
      <w:r>
        <w:rPr>
          <w:rFonts w:hint="eastAsia" w:ascii="仿宋_GB2312" w:hAnsi="仿宋_GB2312" w:eastAsia="仿宋_GB2312" w:cs="仿宋_GB2312"/>
          <w:kern w:val="2"/>
          <w:sz w:val="24"/>
          <w:szCs w:val="24"/>
          <w:u w:val="single"/>
        </w:rPr>
        <w:t xml:space="preserve">      </w:t>
      </w:r>
      <w:r>
        <w:rPr>
          <w:rFonts w:hint="eastAsia" w:ascii="仿宋_GB2312" w:hAnsi="仿宋_GB2312" w:eastAsia="仿宋_GB2312" w:cs="仿宋_GB2312"/>
          <w:kern w:val="2"/>
          <w:sz w:val="24"/>
          <w:szCs w:val="24"/>
        </w:rPr>
        <w:t>年</w:t>
      </w:r>
      <w:r>
        <w:rPr>
          <w:rFonts w:hint="eastAsia" w:ascii="仿宋_GB2312" w:hAnsi="仿宋_GB2312" w:eastAsia="仿宋_GB2312" w:cs="仿宋_GB2312"/>
          <w:kern w:val="2"/>
          <w:sz w:val="24"/>
          <w:szCs w:val="24"/>
          <w:u w:val="single"/>
        </w:rPr>
        <w:t xml:space="preserve">   </w:t>
      </w:r>
      <w:r>
        <w:rPr>
          <w:rFonts w:hint="eastAsia" w:ascii="仿宋_GB2312" w:hAnsi="仿宋_GB2312" w:eastAsia="仿宋_GB2312" w:cs="仿宋_GB2312"/>
          <w:kern w:val="2"/>
          <w:sz w:val="24"/>
          <w:szCs w:val="24"/>
        </w:rPr>
        <w:t>月</w:t>
      </w:r>
      <w:r>
        <w:rPr>
          <w:rFonts w:hint="eastAsia" w:ascii="仿宋_GB2312" w:hAnsi="仿宋_GB2312" w:eastAsia="仿宋_GB2312" w:cs="仿宋_GB2312"/>
          <w:kern w:val="2"/>
          <w:sz w:val="24"/>
          <w:szCs w:val="24"/>
          <w:u w:val="single"/>
        </w:rPr>
        <w:t xml:space="preserve">   </w:t>
      </w:r>
      <w:r>
        <w:rPr>
          <w:rFonts w:hint="eastAsia" w:ascii="仿宋_GB2312" w:hAnsi="仿宋_GB2312" w:eastAsia="仿宋_GB2312" w:cs="仿宋_GB2312"/>
          <w:kern w:val="2"/>
          <w:sz w:val="24"/>
          <w:szCs w:val="24"/>
        </w:rPr>
        <w:t>日</w:t>
      </w:r>
    </w:p>
    <w:p w14:paraId="719396CA">
      <w:pPr>
        <w:pStyle w:val="19"/>
        <w:spacing w:before="0" w:beforeAutospacing="0" w:after="0" w:afterAutospacing="0"/>
        <w:jc w:val="both"/>
        <w:rPr>
          <w:rFonts w:hint="eastAsia" w:ascii="仿宋_GB2312" w:hAnsi="仿宋_GB2312" w:eastAsia="仿宋_GB2312" w:cs="仿宋_GB2312"/>
          <w:kern w:val="2"/>
          <w:sz w:val="28"/>
          <w:szCs w:val="28"/>
        </w:rPr>
      </w:pPr>
    </w:p>
    <w:p w14:paraId="5592281A">
      <w:pPr>
        <w:pStyle w:val="19"/>
        <w:spacing w:before="0" w:beforeAutospacing="0" w:after="0" w:afterAutospacing="0"/>
        <w:jc w:val="both"/>
        <w:rPr>
          <w:rFonts w:hint="eastAsia" w:ascii="黑体" w:hAnsi="黑体" w:eastAsia="黑体" w:cs="黑体"/>
          <w:b w:val="0"/>
          <w:bCs w:val="0"/>
          <w:kern w:val="2"/>
          <w:sz w:val="28"/>
          <w:szCs w:val="28"/>
          <w:lang w:val="en-US" w:eastAsia="zh-CN"/>
        </w:rPr>
      </w:pPr>
      <w:r>
        <w:rPr>
          <w:rFonts w:hint="eastAsia" w:ascii="黑体" w:hAnsi="黑体" w:eastAsia="黑体" w:cs="黑体"/>
          <w:b w:val="0"/>
          <w:bCs w:val="0"/>
          <w:kern w:val="2"/>
          <w:sz w:val="28"/>
          <w:szCs w:val="28"/>
        </w:rPr>
        <w:t>附</w:t>
      </w:r>
      <w:r>
        <w:rPr>
          <w:rFonts w:hint="eastAsia" w:ascii="黑体" w:hAnsi="黑体" w:eastAsia="黑体" w:cs="黑体"/>
          <w:b w:val="0"/>
          <w:bCs w:val="0"/>
          <w:kern w:val="2"/>
          <w:sz w:val="28"/>
          <w:szCs w:val="28"/>
          <w:lang w:eastAsia="zh-CN"/>
        </w:rPr>
        <w:t>：</w:t>
      </w:r>
      <w:r>
        <w:rPr>
          <w:rFonts w:hint="eastAsia" w:ascii="黑体" w:hAnsi="黑体" w:eastAsia="黑体" w:cs="黑体"/>
          <w:b w:val="0"/>
          <w:bCs w:val="0"/>
          <w:kern w:val="2"/>
          <w:sz w:val="28"/>
          <w:szCs w:val="28"/>
        </w:rPr>
        <w:t>受托人身份证复印件</w:t>
      </w:r>
      <w:r>
        <w:rPr>
          <w:rFonts w:hint="eastAsia" w:ascii="黑体" w:hAnsi="黑体" w:eastAsia="黑体" w:cs="黑体"/>
          <w:b w:val="0"/>
          <w:bCs w:val="0"/>
          <w:kern w:val="2"/>
          <w:sz w:val="28"/>
          <w:szCs w:val="28"/>
          <w:lang w:val="en-US" w:eastAsia="zh-CN"/>
        </w:rPr>
        <w:t>及社保证明</w:t>
      </w:r>
    </w:p>
    <w:p w14:paraId="04F5CCBD">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1BD30A32">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48BAC501">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66E2B9B8">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75AF3110">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508FB692">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7E8EE37E">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22933365">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0B3C02C3">
      <w:pPr>
        <w:pStyle w:val="33"/>
        <w:numPr>
          <w:ilvl w:val="0"/>
          <w:numId w:val="0"/>
        </w:numPr>
        <w:spacing w:before="161" w:after="161" w:line="360" w:lineRule="auto"/>
        <w:jc w:val="left"/>
        <w:rPr>
          <w:rFonts w:hint="eastAsia" w:ascii="宋体" w:hAnsi="宋体" w:cs="宋体"/>
          <w:b/>
          <w:bCs w:val="0"/>
          <w:sz w:val="28"/>
          <w:szCs w:val="28"/>
          <w:lang w:val="en-US" w:eastAsia="zh-CN"/>
        </w:rPr>
      </w:pPr>
      <w:r>
        <w:rPr>
          <w:rFonts w:hint="eastAsia" w:ascii="宋体" w:hAnsi="宋体" w:cs="宋体"/>
          <w:b/>
          <w:bCs w:val="0"/>
          <w:sz w:val="28"/>
          <w:szCs w:val="28"/>
          <w:lang w:val="en-US" w:eastAsia="zh-CN"/>
        </w:rPr>
        <w:t>附件2</w:t>
      </w:r>
    </w:p>
    <w:p w14:paraId="378AAA1F">
      <w:pPr>
        <w:pStyle w:val="33"/>
        <w:numPr>
          <w:ilvl w:val="0"/>
          <w:numId w:val="0"/>
        </w:numPr>
        <w:spacing w:before="161" w:after="161" w:line="360" w:lineRule="auto"/>
        <w:jc w:val="center"/>
        <w:rPr>
          <w:rFonts w:hint="default" w:ascii="宋体" w:hAnsi="宋体" w:cs="宋体"/>
          <w:b/>
          <w:bCs w:val="0"/>
          <w:sz w:val="32"/>
          <w:szCs w:val="32"/>
          <w:lang w:val="en-US" w:eastAsia="zh-CN"/>
        </w:rPr>
      </w:pPr>
      <w:r>
        <w:rPr>
          <w:rFonts w:hint="eastAsia" w:ascii="宋体" w:hAnsi="宋体" w:cs="宋体"/>
          <w:b/>
          <w:bCs w:val="0"/>
          <w:sz w:val="32"/>
          <w:szCs w:val="32"/>
          <w:lang w:val="en-US" w:eastAsia="zh-CN"/>
        </w:rPr>
        <w:t>响 应 函</w:t>
      </w:r>
    </w:p>
    <w:p w14:paraId="1163D52A">
      <w:pPr>
        <w:pStyle w:val="3"/>
        <w:pageBreakBefore w:val="0"/>
        <w:kinsoku/>
        <w:wordWrap/>
        <w:overflowPunct/>
        <w:topLinePunct w:val="0"/>
        <w:autoSpaceDE/>
        <w:autoSpaceDN/>
        <w:bidi w:val="0"/>
        <w:adjustRightInd/>
        <w:snapToGrid/>
        <w:spacing w:before="0" w:after="0" w:line="360" w:lineRule="auto"/>
        <w:jc w:val="left"/>
        <w:textAlignment w:val="auto"/>
        <w:rPr>
          <w:rFonts w:hint="eastAsia" w:ascii="仿宋_GB2312" w:hAnsi="仿宋_GB2312" w:eastAsia="仿宋_GB2312" w:cs="仿宋_GB2312"/>
          <w:sz w:val="24"/>
          <w:szCs w:val="24"/>
          <w:u w:val="single"/>
        </w:rPr>
      </w:pPr>
      <w:r>
        <w:rPr>
          <w:rFonts w:hint="eastAsia" w:ascii="仿宋_GB2312" w:hAnsi="仿宋_GB2312" w:eastAsia="仿宋_GB2312" w:cs="仿宋_GB2312"/>
          <w:bCs/>
          <w:sz w:val="28"/>
          <w:szCs w:val="28"/>
        </w:rPr>
        <w:t>致：</w:t>
      </w:r>
      <w:r>
        <w:rPr>
          <w:rFonts w:hint="eastAsia" w:ascii="仿宋_GB2312" w:hAnsi="仿宋_GB2312" w:eastAsia="仿宋_GB2312" w:cs="仿宋_GB2312"/>
          <w:sz w:val="24"/>
          <w:szCs w:val="24"/>
          <w:u w:val="single"/>
        </w:rPr>
        <w:t>北京北方世纪建筑装饰工程有限公司</w:t>
      </w:r>
    </w:p>
    <w:p w14:paraId="06FD90DC">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根据贵方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比选文件，我方报价详见《材料询价（报价）表》，并正式授权签字人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（职务：     ）代表参选人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（供应商名称），提交报价文件要求的全套参选文件，包括以下内容：</w:t>
      </w:r>
    </w:p>
    <w:p w14:paraId="3A2C42E5">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1、比选文件要求的参选文件。</w:t>
      </w:r>
    </w:p>
    <w:p w14:paraId="44F1B241">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2、其他资料：</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p w14:paraId="5B4E67DA">
      <w:pPr>
        <w:pageBreakBefore w:val="0"/>
        <w:widowControl/>
        <w:kinsoku/>
        <w:wordWrap/>
        <w:overflowPunct/>
        <w:topLinePunct w:val="0"/>
        <w:autoSpaceDE/>
        <w:autoSpaceDN/>
        <w:bidi w:val="0"/>
        <w:adjustRightInd/>
        <w:snapToGrid/>
        <w:spacing w:line="360" w:lineRule="auto"/>
        <w:ind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针对此次比选，我方承诺如下：</w:t>
      </w:r>
    </w:p>
    <w:p w14:paraId="1B9C2CBA">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1、我方已详细审核并确认全部报价文件，承诺一旦中选，将按询价文件要求完成协议签订；</w:t>
      </w:r>
    </w:p>
    <w:p w14:paraId="1B991068">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2、我方已详细审核并确认全部报价文件，同意按询价方审核确认的价格签订协议。</w:t>
      </w:r>
    </w:p>
    <w:p w14:paraId="1DE0F65D">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3、每批货物在正常情况下，送货周期在</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天以内，紧急情况下供货时效在</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天以内送达指定地点。</w:t>
      </w:r>
    </w:p>
    <w:p w14:paraId="3AAC3FE3">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4、正式往来通讯请寄：</w:t>
      </w:r>
    </w:p>
    <w:p w14:paraId="327D0337">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地址：</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邮编：</w:t>
      </w:r>
      <w:r>
        <w:rPr>
          <w:rFonts w:hint="eastAsia" w:ascii="仿宋_GB2312" w:hAnsi="仿宋_GB2312" w:eastAsia="仿宋_GB2312" w:cs="仿宋_GB2312"/>
          <w:sz w:val="24"/>
          <w:szCs w:val="24"/>
          <w:u w:val="single"/>
        </w:rPr>
        <w:t xml:space="preserve">               </w:t>
      </w:r>
    </w:p>
    <w:p w14:paraId="64F92CC5">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传真：</w:t>
      </w:r>
      <w:r>
        <w:rPr>
          <w:rFonts w:hint="eastAsia" w:ascii="仿宋_GB2312" w:hAnsi="仿宋_GB2312" w:eastAsia="仿宋_GB2312" w:cs="仿宋_GB2312"/>
          <w:sz w:val="24"/>
          <w:szCs w:val="24"/>
          <w:u w:val="single"/>
        </w:rPr>
        <w:t xml:space="preserve">               </w:t>
      </w:r>
    </w:p>
    <w:p w14:paraId="22C5788D">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p>
    <w:p w14:paraId="49DBA172">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p>
    <w:p w14:paraId="3A0458E0">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参选人：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（单位全称、公章）</w:t>
      </w:r>
    </w:p>
    <w:p w14:paraId="4DDA515E">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p>
    <w:p w14:paraId="74C81F4F">
      <w:pPr>
        <w:keepNext w:val="0"/>
        <w:keepLines w:val="0"/>
        <w:pageBreakBefore w:val="0"/>
        <w:widowControl/>
        <w:kinsoku/>
        <w:wordWrap/>
        <w:overflowPunct/>
        <w:topLinePunct w:val="0"/>
        <w:autoSpaceDE/>
        <w:autoSpaceDN/>
        <w:bidi w:val="0"/>
        <w:adjustRightInd/>
        <w:snapToGrid/>
        <w:spacing w:line="48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法定代表人或其授权委托人：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（盖章或签字）</w:t>
      </w:r>
    </w:p>
    <w:p w14:paraId="3574B8A6">
      <w:pPr>
        <w:keepNext w:val="0"/>
        <w:keepLines w:val="0"/>
        <w:pageBreakBefore w:val="0"/>
        <w:widowControl/>
        <w:kinsoku/>
        <w:wordWrap/>
        <w:overflowPunct/>
        <w:topLinePunct w:val="0"/>
        <w:autoSpaceDE/>
        <w:autoSpaceDN/>
        <w:bidi w:val="0"/>
        <w:adjustRightInd/>
        <w:snapToGrid/>
        <w:spacing w:line="48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电子文件收件地址：</w:t>
      </w:r>
      <w:r>
        <w:rPr>
          <w:rFonts w:hint="eastAsia" w:ascii="仿宋_GB2312" w:hAnsi="仿宋_GB2312" w:eastAsia="仿宋_GB2312" w:cs="仿宋_GB2312"/>
          <w:sz w:val="24"/>
          <w:szCs w:val="24"/>
          <w:u w:val="single"/>
        </w:rPr>
        <w:t xml:space="preserve">                    </w:t>
      </w:r>
    </w:p>
    <w:p w14:paraId="1E583EB9">
      <w:pPr>
        <w:keepNext w:val="0"/>
        <w:keepLines w:val="0"/>
        <w:pageBreakBefore w:val="0"/>
        <w:widowControl/>
        <w:kinsoku/>
        <w:wordWrap/>
        <w:overflowPunct/>
        <w:topLinePunct w:val="0"/>
        <w:autoSpaceDE/>
        <w:autoSpaceDN/>
        <w:bidi w:val="0"/>
        <w:adjustRightInd/>
        <w:snapToGrid/>
        <w:spacing w:line="48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日期：</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14:paraId="0158D7F3">
      <w:pPr>
        <w:pStyle w:val="33"/>
        <w:numPr>
          <w:ilvl w:val="0"/>
          <w:numId w:val="0"/>
        </w:numPr>
        <w:spacing w:before="161" w:after="161" w:line="360" w:lineRule="auto"/>
        <w:jc w:val="left"/>
        <w:rPr>
          <w:rFonts w:hint="eastAsia" w:ascii="宋体" w:hAnsi="宋体" w:cs="宋体"/>
          <w:b/>
          <w:bCs w:val="0"/>
          <w:sz w:val="28"/>
          <w:szCs w:val="28"/>
          <w:lang w:val="en-US" w:eastAsia="zh-CN"/>
        </w:rPr>
      </w:pPr>
    </w:p>
    <w:p w14:paraId="5A4C8687">
      <w:pPr>
        <w:pStyle w:val="33"/>
        <w:numPr>
          <w:ilvl w:val="0"/>
          <w:numId w:val="0"/>
        </w:numPr>
        <w:spacing w:before="161" w:after="161" w:line="360" w:lineRule="auto"/>
        <w:jc w:val="left"/>
        <w:rPr>
          <w:rFonts w:hint="eastAsia" w:ascii="宋体" w:hAnsi="宋体" w:cs="宋体"/>
          <w:b/>
          <w:bCs w:val="0"/>
          <w:sz w:val="28"/>
          <w:szCs w:val="28"/>
          <w:lang w:val="en-US" w:eastAsia="zh-CN"/>
        </w:rPr>
      </w:pPr>
      <w:r>
        <w:rPr>
          <w:rFonts w:hint="eastAsia" w:ascii="宋体" w:hAnsi="宋体" w:cs="宋体"/>
          <w:b/>
          <w:bCs w:val="0"/>
          <w:sz w:val="28"/>
          <w:szCs w:val="28"/>
          <w:lang w:val="en-US" w:eastAsia="zh-CN"/>
        </w:rPr>
        <w:t>附件3</w:t>
      </w:r>
    </w:p>
    <w:p w14:paraId="35AF3D79">
      <w:pPr>
        <w:pageBreakBefore w:val="0"/>
        <w:widowControl/>
        <w:kinsoku/>
        <w:wordWrap/>
        <w:overflowPunct/>
        <w:topLinePunct w:val="0"/>
        <w:autoSpaceDE/>
        <w:autoSpaceDN/>
        <w:bidi w:val="0"/>
        <w:adjustRightInd/>
        <w:snapToGrid/>
        <w:spacing w:line="360" w:lineRule="auto"/>
        <w:jc w:val="center"/>
        <w:textAlignment w:val="auto"/>
        <w:rPr>
          <w:rFonts w:hint="default" w:ascii="宋体" w:hAnsi="宋体" w:eastAsia="宋体" w:cs="宋体"/>
          <w:b/>
          <w:bCs w:val="0"/>
          <w:kern w:val="2"/>
          <w:sz w:val="32"/>
          <w:szCs w:val="32"/>
          <w:lang w:val="en-US" w:eastAsia="zh-CN" w:bidi="ar-SA"/>
        </w:rPr>
      </w:pPr>
      <w:r>
        <w:rPr>
          <w:rFonts w:hint="eastAsia" w:ascii="宋体" w:hAnsi="宋体" w:eastAsia="宋体" w:cs="宋体"/>
          <w:b/>
          <w:bCs w:val="0"/>
          <w:kern w:val="2"/>
          <w:sz w:val="32"/>
          <w:szCs w:val="32"/>
          <w:lang w:val="en-US" w:eastAsia="zh-CN" w:bidi="ar-SA"/>
        </w:rPr>
        <w:t>样品承诺函</w:t>
      </w:r>
    </w:p>
    <w:p w14:paraId="49D4BBD5">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p>
    <w:p w14:paraId="4791BD3E">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8"/>
          <w:szCs w:val="28"/>
          <w:lang w:val="en-US" w:eastAsia="zh-CN"/>
        </w:rPr>
        <w:t>致：</w:t>
      </w:r>
      <w:r>
        <w:rPr>
          <w:rFonts w:hint="eastAsia" w:ascii="仿宋_GB2312" w:hAnsi="仿宋_GB2312" w:eastAsia="仿宋_GB2312" w:cs="仿宋_GB2312"/>
          <w:b/>
          <w:bCs/>
          <w:sz w:val="24"/>
          <w:szCs w:val="24"/>
          <w:lang w:val="en-US" w:eastAsia="zh-CN"/>
        </w:rPr>
        <w:t>北京北方世纪建筑装饰工程有限公司</w:t>
      </w:r>
    </w:p>
    <w:p w14:paraId="763A2F38">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根据贵方</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比选文件，我公司针对此次比选，我方样品承诺如下：</w:t>
      </w:r>
    </w:p>
    <w:p w14:paraId="2A5EFB9B">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1.本公司给采购方提供的实物样品真实有效。</w:t>
      </w:r>
    </w:p>
    <w:p w14:paraId="42E757E9">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2.同期批次材料绝对一致。</w:t>
      </w:r>
    </w:p>
    <w:p w14:paraId="6A58DB60">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3.另期批次材料出现偏差及时报送采购方，双方确认后方可供货。</w:t>
      </w:r>
    </w:p>
    <w:p w14:paraId="6F25368A">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p>
    <w:p w14:paraId="73F27E97">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p>
    <w:p w14:paraId="24CF7C0F">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参选人：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（单位全称、公章）</w:t>
      </w:r>
    </w:p>
    <w:p w14:paraId="2F303BD9">
      <w:pPr>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p>
    <w:p w14:paraId="329185B6">
      <w:pPr>
        <w:keepNext w:val="0"/>
        <w:keepLines w:val="0"/>
        <w:pageBreakBefore w:val="0"/>
        <w:widowControl/>
        <w:kinsoku/>
        <w:wordWrap/>
        <w:overflowPunct/>
        <w:topLinePunct w:val="0"/>
        <w:autoSpaceDE/>
        <w:autoSpaceDN/>
        <w:bidi w:val="0"/>
        <w:adjustRightInd/>
        <w:snapToGrid/>
        <w:spacing w:line="48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法定代表人或其授权委托人：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（盖章或签字）</w:t>
      </w:r>
    </w:p>
    <w:p w14:paraId="367D5ED6">
      <w:pPr>
        <w:keepNext w:val="0"/>
        <w:keepLines w:val="0"/>
        <w:pageBreakBefore w:val="0"/>
        <w:widowControl/>
        <w:kinsoku/>
        <w:wordWrap/>
        <w:overflowPunct/>
        <w:topLinePunct w:val="0"/>
        <w:autoSpaceDE/>
        <w:autoSpaceDN/>
        <w:bidi w:val="0"/>
        <w:adjustRightInd/>
        <w:snapToGrid/>
        <w:spacing w:line="48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电子文件收件地址：</w:t>
      </w:r>
      <w:r>
        <w:rPr>
          <w:rFonts w:hint="eastAsia" w:ascii="仿宋_GB2312" w:hAnsi="仿宋_GB2312" w:eastAsia="仿宋_GB2312" w:cs="仿宋_GB2312"/>
          <w:sz w:val="24"/>
          <w:szCs w:val="24"/>
          <w:u w:val="single"/>
        </w:rPr>
        <w:t xml:space="preserve">                    </w:t>
      </w:r>
    </w:p>
    <w:p w14:paraId="23A48FCF">
      <w:pPr>
        <w:keepNext w:val="0"/>
        <w:keepLines w:val="0"/>
        <w:pageBreakBefore w:val="0"/>
        <w:widowControl/>
        <w:kinsoku/>
        <w:wordWrap/>
        <w:overflowPunct/>
        <w:topLinePunct w:val="0"/>
        <w:autoSpaceDE/>
        <w:autoSpaceDN/>
        <w:bidi w:val="0"/>
        <w:adjustRightInd/>
        <w:snapToGrid/>
        <w:spacing w:line="480" w:lineRule="auto"/>
        <w:textAlignment w:val="auto"/>
        <w:rPr>
          <w:rFonts w:hint="eastAsia" w:ascii="仿宋_GB2312" w:hAnsi="仿宋_GB2312" w:eastAsia="仿宋_GB2312" w:cs="仿宋_GB2312"/>
          <w:b/>
          <w:bCs w:val="0"/>
          <w:kern w:val="2"/>
          <w:sz w:val="24"/>
          <w:szCs w:val="24"/>
          <w:u w:val="none"/>
          <w:lang w:val="en-US" w:eastAsia="zh-CN" w:bidi="ar-SA"/>
        </w:rPr>
      </w:pPr>
      <w:r>
        <w:rPr>
          <w:rFonts w:hint="eastAsia" w:ascii="仿宋_GB2312" w:hAnsi="仿宋_GB2312" w:eastAsia="仿宋_GB2312" w:cs="仿宋_GB2312"/>
          <w:sz w:val="24"/>
          <w:szCs w:val="24"/>
        </w:rPr>
        <w:t>日期：</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14:paraId="505C01D9">
      <w:pPr>
        <w:keepNext w:val="0"/>
        <w:keepLines w:val="0"/>
        <w:pageBreakBefore w:val="0"/>
        <w:widowControl/>
        <w:kinsoku/>
        <w:wordWrap/>
        <w:overflowPunct/>
        <w:topLinePunct w:val="0"/>
        <w:autoSpaceDE/>
        <w:autoSpaceDN/>
        <w:bidi w:val="0"/>
        <w:adjustRightInd/>
        <w:snapToGrid/>
        <w:spacing w:line="480" w:lineRule="auto"/>
        <w:textAlignment w:val="auto"/>
        <w:rPr>
          <w:rFonts w:hint="eastAsia" w:ascii="仿宋_GB2312" w:hAnsi="仿宋_GB2312" w:eastAsia="仿宋_GB2312" w:cs="仿宋_GB2312"/>
          <w:sz w:val="24"/>
          <w:szCs w:val="24"/>
          <w:lang w:val="en-US" w:eastAsia="zh-CN"/>
        </w:rPr>
      </w:pPr>
    </w:p>
    <w:p w14:paraId="0674CA8B">
      <w:pPr>
        <w:pStyle w:val="19"/>
        <w:spacing w:before="0" w:beforeAutospacing="0" w:after="0" w:afterAutospacing="0"/>
        <w:jc w:val="both"/>
        <w:rPr>
          <w:rFonts w:hint="eastAsia" w:ascii="仿宋_GB2312" w:hAnsi="仿宋_GB2312" w:eastAsia="仿宋_GB2312" w:cs="仿宋_GB2312"/>
          <w:kern w:val="2"/>
          <w:sz w:val="28"/>
          <w:szCs w:val="28"/>
          <w:lang w:val="en-US" w:eastAsia="zh-CN"/>
        </w:rPr>
      </w:pPr>
    </w:p>
    <w:p w14:paraId="55937F6C">
      <w:pPr>
        <w:pStyle w:val="33"/>
        <w:numPr>
          <w:ilvl w:val="0"/>
          <w:numId w:val="0"/>
        </w:numPr>
        <w:spacing w:before="161" w:after="161" w:line="360" w:lineRule="auto"/>
        <w:jc w:val="both"/>
        <w:rPr>
          <w:rFonts w:hint="eastAsia" w:ascii="宋体" w:hAnsi="宋体" w:cs="宋体"/>
          <w:b/>
          <w:bCs w:val="0"/>
          <w:sz w:val="28"/>
          <w:szCs w:val="28"/>
          <w:lang w:val="en-US" w:eastAsia="zh-CN"/>
        </w:rPr>
      </w:pPr>
    </w:p>
    <w:p w14:paraId="323485B2">
      <w:pPr>
        <w:pStyle w:val="33"/>
        <w:numPr>
          <w:ilvl w:val="0"/>
          <w:numId w:val="0"/>
        </w:numPr>
        <w:spacing w:before="161" w:after="161" w:line="360" w:lineRule="auto"/>
        <w:jc w:val="both"/>
        <w:rPr>
          <w:rFonts w:hint="eastAsia" w:ascii="宋体" w:hAnsi="宋体" w:cs="宋体"/>
          <w:b/>
          <w:bCs w:val="0"/>
          <w:sz w:val="28"/>
          <w:szCs w:val="28"/>
          <w:lang w:val="en-US" w:eastAsia="zh-CN"/>
        </w:rPr>
      </w:pPr>
    </w:p>
    <w:p w14:paraId="39BA10A5">
      <w:pPr>
        <w:pStyle w:val="33"/>
        <w:numPr>
          <w:ilvl w:val="0"/>
          <w:numId w:val="0"/>
        </w:numPr>
        <w:spacing w:before="161" w:after="161" w:line="360" w:lineRule="auto"/>
        <w:jc w:val="both"/>
        <w:rPr>
          <w:rFonts w:hint="eastAsia" w:ascii="宋体" w:hAnsi="宋体" w:cs="宋体"/>
          <w:b/>
          <w:bCs w:val="0"/>
          <w:sz w:val="28"/>
          <w:szCs w:val="28"/>
          <w:lang w:val="en-US" w:eastAsia="zh-CN"/>
        </w:rPr>
        <w:sectPr>
          <w:pgSz w:w="11906" w:h="16838"/>
          <w:pgMar w:top="1304" w:right="1474" w:bottom="1304" w:left="1474" w:header="851" w:footer="992" w:gutter="0"/>
          <w:cols w:space="0" w:num="1"/>
          <w:titlePg/>
          <w:rtlGutter w:val="0"/>
          <w:docGrid w:type="lines" w:linePitch="331" w:charSpace="0"/>
        </w:sectPr>
      </w:pPr>
    </w:p>
    <w:p w14:paraId="4FDC8615">
      <w:pPr>
        <w:pStyle w:val="33"/>
        <w:keepLines w:val="0"/>
        <w:pageBreakBefore w:val="0"/>
        <w:numPr>
          <w:ilvl w:val="0"/>
          <w:numId w:val="0"/>
        </w:numPr>
        <w:kinsoku/>
        <w:wordWrap/>
        <w:overflowPunct/>
        <w:topLinePunct w:val="0"/>
        <w:autoSpaceDE/>
        <w:autoSpaceDN/>
        <w:bidi w:val="0"/>
        <w:adjustRightInd/>
        <w:snapToGrid/>
        <w:spacing w:before="161" w:after="161" w:line="240" w:lineRule="atLeast"/>
        <w:jc w:val="both"/>
        <w:textAlignment w:val="auto"/>
        <w:rPr>
          <w:rFonts w:hint="eastAsia" w:ascii="宋体" w:hAnsi="宋体" w:cs="宋体"/>
          <w:b/>
          <w:bCs w:val="0"/>
          <w:sz w:val="28"/>
          <w:szCs w:val="28"/>
          <w:lang w:val="en-US" w:eastAsia="zh-CN"/>
        </w:rPr>
      </w:pPr>
      <w:r>
        <w:rPr>
          <w:rFonts w:hint="eastAsia" w:ascii="宋体" w:hAnsi="宋体" w:cs="宋体"/>
          <w:b/>
          <w:bCs w:val="0"/>
          <w:sz w:val="28"/>
          <w:szCs w:val="28"/>
          <w:lang w:val="en-US" w:eastAsia="zh-CN"/>
        </w:rPr>
        <w:t xml:space="preserve">附件4                           </w:t>
      </w:r>
    </w:p>
    <w:p w14:paraId="0D454192">
      <w:pPr>
        <w:pStyle w:val="2"/>
        <w:bidi w:val="0"/>
        <w:jc w:val="center"/>
        <w:rPr>
          <w:rFonts w:hint="eastAsia"/>
          <w:lang w:val="en-US" w:eastAsia="zh-CN"/>
        </w:rPr>
      </w:pPr>
    </w:p>
    <w:p w14:paraId="1B54DE56">
      <w:pPr>
        <w:pStyle w:val="2"/>
        <w:bidi w:val="0"/>
        <w:jc w:val="center"/>
        <w:rPr>
          <w:rFonts w:hint="eastAsia"/>
          <w:lang w:val="en-US" w:eastAsia="zh-CN"/>
        </w:rPr>
      </w:pPr>
    </w:p>
    <w:p w14:paraId="1EBA77E7">
      <w:pPr>
        <w:pStyle w:val="2"/>
        <w:bidi w:val="0"/>
        <w:jc w:val="center"/>
        <w:rPr>
          <w:rFonts w:hint="eastAsia"/>
          <w:lang w:val="en-US" w:eastAsia="zh-CN"/>
        </w:rPr>
      </w:pPr>
    </w:p>
    <w:p w14:paraId="36C8BBDC">
      <w:pPr>
        <w:pStyle w:val="2"/>
        <w:bidi w:val="0"/>
        <w:jc w:val="center"/>
        <w:rPr>
          <w:rFonts w:hint="eastAsia"/>
          <w:lang w:val="en-US" w:eastAsia="zh-CN"/>
        </w:rPr>
      </w:pPr>
    </w:p>
    <w:p w14:paraId="49EE2AEF">
      <w:pPr>
        <w:pStyle w:val="2"/>
        <w:bidi w:val="0"/>
        <w:jc w:val="center"/>
        <w:rPr>
          <w:rFonts w:hint="eastAsia"/>
          <w:lang w:val="en-US" w:eastAsia="zh-CN"/>
        </w:rPr>
      </w:pPr>
    </w:p>
    <w:p w14:paraId="39F96768">
      <w:pPr>
        <w:pStyle w:val="2"/>
        <w:bidi w:val="0"/>
        <w:jc w:val="center"/>
        <w:rPr>
          <w:rFonts w:hint="eastAsia"/>
          <w:lang w:eastAsia="zh-CN"/>
        </w:rPr>
      </w:pPr>
      <w:r>
        <w:rPr>
          <w:rFonts w:hint="eastAsia"/>
          <w:lang w:val="en-US" w:eastAsia="zh-CN"/>
        </w:rPr>
        <w:t>详见《</w:t>
      </w:r>
      <w:r>
        <w:rPr>
          <w:rFonts w:hint="eastAsia"/>
          <w:u w:val="single"/>
          <w:lang w:val="en-US" w:eastAsia="zh-CN"/>
        </w:rPr>
        <w:t>建筑材料质检服务</w:t>
      </w:r>
      <w:r>
        <w:rPr>
          <w:rFonts w:hint="eastAsia"/>
        </w:rPr>
        <w:t>询价（报价）表</w:t>
      </w:r>
      <w:r>
        <w:rPr>
          <w:rFonts w:hint="eastAsia"/>
          <w:lang w:eastAsia="zh-CN"/>
        </w:rPr>
        <w:t>》</w:t>
      </w:r>
    </w:p>
    <w:sectPr>
      <w:pgSz w:w="16838" w:h="11906" w:orient="landscape"/>
      <w:pgMar w:top="1474" w:right="1304" w:bottom="1474" w:left="1304" w:header="851" w:footer="992" w:gutter="0"/>
      <w:cols w:space="0" w:num="1"/>
      <w:titlePg/>
      <w:rtlGutter w:val="0"/>
      <w:docGrid w:type="lines"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7817F">
    <w:pPr>
      <w:pStyle w:val="1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A73604">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wps:txbx>
                    <wps:bodyPr vert="horz" wrap="none" lIns="0" tIns="0" rIns="0" bIns="0" anchor="t" anchorCtr="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ihvqm3gEAAL4DAAAOAAAAAAAA&#10;AAEAIAAAAB4BAABkcnMvZTJvRG9jLnhtbFBLBQYAAAAABgAGAFkBAABuBQAAAAA=&#10;">
              <v:fill on="f" focussize="0,0"/>
              <v:stroke on="f"/>
              <v:imagedata o:title=""/>
              <o:lock v:ext="edit" aspectratio="f"/>
              <v:textbox inset="0mm,0mm,0mm,0mm" style="mso-fit-shape-to-text:t;">
                <w:txbxContent>
                  <w:p w14:paraId="1EA73604">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832E5">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BAF026">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wps:txbx>
                    <wps:bodyPr vert="horz" wrap="none" lIns="0" tIns="0" rIns="0" bIns="0" anchor="t" anchorCtr="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B+1iBTdAQAAvgMAAA4AAAAAAAAA&#10;AQAgAAAAHgEAAGRycy9lMm9Eb2MueG1sUEsFBgAAAAAGAAYAWQEAAG0FAAAAAA==&#10;">
              <v:fill on="f" focussize="0,0"/>
              <v:stroke on="f"/>
              <v:imagedata o:title=""/>
              <o:lock v:ext="edit" aspectratio="f"/>
              <v:textbox inset="0mm,0mm,0mm,0mm" style="mso-fit-shape-to-text:t;">
                <w:txbxContent>
                  <w:p w14:paraId="4CBAF026">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3F54C">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6C9C36"/>
    <w:multiLevelType w:val="singleLevel"/>
    <w:tmpl w:val="946C9C36"/>
    <w:lvl w:ilvl="0" w:tentative="0">
      <w:start w:val="1"/>
      <w:numFmt w:val="bullet"/>
      <w:lvlText w:val=""/>
      <w:lvlJc w:val="left"/>
      <w:pPr>
        <w:ind w:left="420" w:hanging="420"/>
      </w:pPr>
      <w:rPr>
        <w:rFonts w:hint="default" w:ascii="Wingdings" w:hAnsi="Wingdings"/>
      </w:rPr>
    </w:lvl>
  </w:abstractNum>
  <w:abstractNum w:abstractNumId="1">
    <w:nsid w:val="25404665"/>
    <w:multiLevelType w:val="multilevel"/>
    <w:tmpl w:val="25404665"/>
    <w:lvl w:ilvl="0" w:tentative="0">
      <w:start w:val="1"/>
      <w:numFmt w:val="decimal"/>
      <w:pStyle w:val="32"/>
      <w:isLgl/>
      <w:suff w:val="space"/>
      <w:lvlText w:val="%1."/>
      <w:lvlJc w:val="left"/>
      <w:pPr>
        <w:ind w:left="210" w:firstLine="0"/>
      </w:pPr>
      <w:rPr>
        <w:rFonts w:hint="eastAsia" w:eastAsia="黑体"/>
        <w:b/>
        <w:i w:val="0"/>
        <w:color w:val="000000"/>
        <w:sz w:val="30"/>
        <w:szCs w:val="30"/>
      </w:rPr>
    </w:lvl>
    <w:lvl w:ilvl="1" w:tentative="0">
      <w:start w:val="1"/>
      <w:numFmt w:val="decimal"/>
      <w:pStyle w:val="33"/>
      <w:isLgl/>
      <w:suff w:val="space"/>
      <w:lvlText w:val="%1.%2."/>
      <w:lvlJc w:val="left"/>
      <w:pPr>
        <w:ind w:left="0" w:firstLine="0"/>
      </w:pPr>
      <w:rPr>
        <w:rFonts w:hint="eastAsia" w:eastAsia="黑体"/>
        <w:b/>
        <w:i w:val="0"/>
        <w:color w:val="000000"/>
        <w:sz w:val="24"/>
        <w:szCs w:val="24"/>
      </w:rPr>
    </w:lvl>
    <w:lvl w:ilvl="2" w:tentative="0">
      <w:start w:val="1"/>
      <w:numFmt w:val="decimal"/>
      <w:pStyle w:val="31"/>
      <w:isLgl/>
      <w:suff w:val="space"/>
      <w:lvlText w:val="%1.%2.%3."/>
      <w:lvlJc w:val="left"/>
      <w:pPr>
        <w:ind w:left="0" w:firstLine="0"/>
      </w:pPr>
      <w:rPr>
        <w:rFonts w:hint="default" w:ascii="Arial" w:hAnsi="Arial" w:eastAsia="黑体" w:cs="Arial"/>
        <w:b/>
        <w:i w:val="0"/>
        <w:color w:val="000000"/>
        <w:sz w:val="24"/>
        <w:szCs w:val="24"/>
      </w:rPr>
    </w:lvl>
    <w:lvl w:ilvl="3" w:tentative="0">
      <w:start w:val="1"/>
      <w:numFmt w:val="decimal"/>
      <w:pStyle w:val="34"/>
      <w:isLgl/>
      <w:suff w:val="space"/>
      <w:lvlText w:val="%1.%2.%3.%4."/>
      <w:lvlJc w:val="left"/>
      <w:pPr>
        <w:ind w:left="0" w:firstLine="0"/>
      </w:pPr>
      <w:rPr>
        <w:rFonts w:hint="eastAsia" w:eastAsia="黑体"/>
        <w:b/>
        <w:i w:val="0"/>
        <w:sz w:val="24"/>
        <w:szCs w:val="24"/>
      </w:rPr>
    </w:lvl>
    <w:lvl w:ilvl="4" w:tentative="0">
      <w:start w:val="1"/>
      <w:numFmt w:val="decimal"/>
      <w:isLgl/>
      <w:suff w:val="space"/>
      <w:lvlText w:val="%1.%2.%3.%4.%5."/>
      <w:lvlJc w:val="left"/>
      <w:pPr>
        <w:ind w:left="0" w:firstLine="0"/>
      </w:pPr>
      <w:rPr>
        <w:rFonts w:hint="eastAsia" w:eastAsia="宋体"/>
        <w:b/>
        <w:i w:val="0"/>
        <w:sz w:val="24"/>
        <w:szCs w:val="24"/>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71A4085B"/>
    <w:multiLevelType w:val="singleLevel"/>
    <w:tmpl w:val="71A4085B"/>
    <w:lvl w:ilvl="0" w:tentative="0">
      <w:start w:val="1"/>
      <w:numFmt w:val="lowerLetter"/>
      <w:lvlText w:val="%1."/>
      <w:lvlJc w:val="left"/>
      <w:pPr>
        <w:ind w:left="425" w:hanging="425"/>
      </w:pPr>
      <w:rPr>
        <w:rFonts w:hint="default"/>
      </w:rPr>
    </w:lvl>
  </w:abstractNum>
  <w:abstractNum w:abstractNumId="3">
    <w:nsid w:val="750AD382"/>
    <w:multiLevelType w:val="singleLevel"/>
    <w:tmpl w:val="750AD382"/>
    <w:lvl w:ilvl="0" w:tentative="0">
      <w:start w:val="9"/>
      <w:numFmt w:val="chineseCounting"/>
      <w:suff w:val="nothing"/>
      <w:lvlText w:val="%1、"/>
      <w:lvlJc w:val="left"/>
      <w:rPr>
        <w:rFonts w:hint="eastAsia"/>
      </w:rPr>
    </w:lvl>
  </w:abstractNum>
  <w:abstractNum w:abstractNumId="4">
    <w:nsid w:val="7CB479CC"/>
    <w:multiLevelType w:val="singleLevel"/>
    <w:tmpl w:val="7CB479CC"/>
    <w:lvl w:ilvl="0" w:tentative="0">
      <w:start w:val="6"/>
      <w:numFmt w:val="chineseCounting"/>
      <w:suff w:val="nothing"/>
      <w:lvlText w:val="%1、"/>
      <w:lvlJc w:val="left"/>
      <w:rPr>
        <w:rFonts w:hint="eastAsia"/>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420"/>
  <w:drawingGridVerticalSpacing w:val="16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JlZmMyNGNmZDc1MDBiMjVjNjUyOTljZjVmMTNhZTYifQ=="/>
  </w:docVars>
  <w:rsids>
    <w:rsidRoot w:val="00172A27"/>
    <w:rsid w:val="00006818"/>
    <w:rsid w:val="00027B56"/>
    <w:rsid w:val="00032A0E"/>
    <w:rsid w:val="00041468"/>
    <w:rsid w:val="00041DA9"/>
    <w:rsid w:val="00071884"/>
    <w:rsid w:val="0007560B"/>
    <w:rsid w:val="000872A3"/>
    <w:rsid w:val="000A65F4"/>
    <w:rsid w:val="000D3226"/>
    <w:rsid w:val="0010167D"/>
    <w:rsid w:val="00107CAD"/>
    <w:rsid w:val="0012057C"/>
    <w:rsid w:val="00142C75"/>
    <w:rsid w:val="00172A27"/>
    <w:rsid w:val="00193511"/>
    <w:rsid w:val="001D3F3C"/>
    <w:rsid w:val="001E3BF8"/>
    <w:rsid w:val="001E3C6C"/>
    <w:rsid w:val="00205D9B"/>
    <w:rsid w:val="00207328"/>
    <w:rsid w:val="002106D5"/>
    <w:rsid w:val="00232951"/>
    <w:rsid w:val="00242BE6"/>
    <w:rsid w:val="002452F8"/>
    <w:rsid w:val="00263D8C"/>
    <w:rsid w:val="002666F9"/>
    <w:rsid w:val="00275A5D"/>
    <w:rsid w:val="0027684F"/>
    <w:rsid w:val="002A7097"/>
    <w:rsid w:val="002D4FBA"/>
    <w:rsid w:val="002F2FF7"/>
    <w:rsid w:val="00315F6B"/>
    <w:rsid w:val="00336623"/>
    <w:rsid w:val="00355B83"/>
    <w:rsid w:val="003679C2"/>
    <w:rsid w:val="0037050D"/>
    <w:rsid w:val="0037211E"/>
    <w:rsid w:val="00381DE1"/>
    <w:rsid w:val="003A433D"/>
    <w:rsid w:val="003C37E5"/>
    <w:rsid w:val="003E2210"/>
    <w:rsid w:val="003E394A"/>
    <w:rsid w:val="003F1093"/>
    <w:rsid w:val="003F2921"/>
    <w:rsid w:val="00400BE8"/>
    <w:rsid w:val="004052AD"/>
    <w:rsid w:val="00452947"/>
    <w:rsid w:val="00461FDB"/>
    <w:rsid w:val="004625D2"/>
    <w:rsid w:val="004634AD"/>
    <w:rsid w:val="00474B63"/>
    <w:rsid w:val="004A515A"/>
    <w:rsid w:val="004B3427"/>
    <w:rsid w:val="005074A4"/>
    <w:rsid w:val="00517063"/>
    <w:rsid w:val="00542550"/>
    <w:rsid w:val="00553070"/>
    <w:rsid w:val="00562F4D"/>
    <w:rsid w:val="00576BBE"/>
    <w:rsid w:val="005A7B41"/>
    <w:rsid w:val="005D2883"/>
    <w:rsid w:val="006073EC"/>
    <w:rsid w:val="00625A4B"/>
    <w:rsid w:val="0064015A"/>
    <w:rsid w:val="0065698D"/>
    <w:rsid w:val="00656E6D"/>
    <w:rsid w:val="00675F70"/>
    <w:rsid w:val="0068720F"/>
    <w:rsid w:val="006E0545"/>
    <w:rsid w:val="006E6815"/>
    <w:rsid w:val="006F0E8C"/>
    <w:rsid w:val="006F556E"/>
    <w:rsid w:val="00717563"/>
    <w:rsid w:val="00743750"/>
    <w:rsid w:val="007571AD"/>
    <w:rsid w:val="00762A9B"/>
    <w:rsid w:val="00773943"/>
    <w:rsid w:val="00775B6A"/>
    <w:rsid w:val="00775E98"/>
    <w:rsid w:val="00793D20"/>
    <w:rsid w:val="007A1B3A"/>
    <w:rsid w:val="007C641E"/>
    <w:rsid w:val="007F7DE3"/>
    <w:rsid w:val="008020F5"/>
    <w:rsid w:val="008049CD"/>
    <w:rsid w:val="00805056"/>
    <w:rsid w:val="00821349"/>
    <w:rsid w:val="0085725E"/>
    <w:rsid w:val="00875408"/>
    <w:rsid w:val="00876379"/>
    <w:rsid w:val="008A104E"/>
    <w:rsid w:val="008C5169"/>
    <w:rsid w:val="008D0BDB"/>
    <w:rsid w:val="008D3A0E"/>
    <w:rsid w:val="008F11FC"/>
    <w:rsid w:val="008F7336"/>
    <w:rsid w:val="009041B3"/>
    <w:rsid w:val="00916253"/>
    <w:rsid w:val="00920442"/>
    <w:rsid w:val="0094095B"/>
    <w:rsid w:val="009456A7"/>
    <w:rsid w:val="009549EE"/>
    <w:rsid w:val="00956FCE"/>
    <w:rsid w:val="00962778"/>
    <w:rsid w:val="00986F76"/>
    <w:rsid w:val="009A35F8"/>
    <w:rsid w:val="009B2BB3"/>
    <w:rsid w:val="009F0110"/>
    <w:rsid w:val="009F6D24"/>
    <w:rsid w:val="00A0760B"/>
    <w:rsid w:val="00A24E5E"/>
    <w:rsid w:val="00A30FF7"/>
    <w:rsid w:val="00A5717C"/>
    <w:rsid w:val="00A759CA"/>
    <w:rsid w:val="00AC52AD"/>
    <w:rsid w:val="00AD073E"/>
    <w:rsid w:val="00AD0CD0"/>
    <w:rsid w:val="00B6163D"/>
    <w:rsid w:val="00B7709B"/>
    <w:rsid w:val="00B83C76"/>
    <w:rsid w:val="00B966E1"/>
    <w:rsid w:val="00BC11CF"/>
    <w:rsid w:val="00BD1F26"/>
    <w:rsid w:val="00C03434"/>
    <w:rsid w:val="00C15B2F"/>
    <w:rsid w:val="00C434D7"/>
    <w:rsid w:val="00C43BA2"/>
    <w:rsid w:val="00C5230C"/>
    <w:rsid w:val="00C55D27"/>
    <w:rsid w:val="00C61C95"/>
    <w:rsid w:val="00C638E1"/>
    <w:rsid w:val="00C775C6"/>
    <w:rsid w:val="00C83F6E"/>
    <w:rsid w:val="00C94A19"/>
    <w:rsid w:val="00C96EAC"/>
    <w:rsid w:val="00CA565D"/>
    <w:rsid w:val="00D2339C"/>
    <w:rsid w:val="00D26D82"/>
    <w:rsid w:val="00D3014C"/>
    <w:rsid w:val="00D443BA"/>
    <w:rsid w:val="00D80A74"/>
    <w:rsid w:val="00DB702B"/>
    <w:rsid w:val="00DC2A37"/>
    <w:rsid w:val="00DE32E9"/>
    <w:rsid w:val="00DF0D44"/>
    <w:rsid w:val="00E0127C"/>
    <w:rsid w:val="00E019CB"/>
    <w:rsid w:val="00E22F36"/>
    <w:rsid w:val="00E23570"/>
    <w:rsid w:val="00E2377E"/>
    <w:rsid w:val="00E375DF"/>
    <w:rsid w:val="00E47801"/>
    <w:rsid w:val="00E67ABA"/>
    <w:rsid w:val="00E86670"/>
    <w:rsid w:val="00EA7B69"/>
    <w:rsid w:val="00EA7B95"/>
    <w:rsid w:val="00EC1C9A"/>
    <w:rsid w:val="00EC2B79"/>
    <w:rsid w:val="00ED4F98"/>
    <w:rsid w:val="00F36067"/>
    <w:rsid w:val="00F43BB2"/>
    <w:rsid w:val="00F472DE"/>
    <w:rsid w:val="00F64771"/>
    <w:rsid w:val="00F72C25"/>
    <w:rsid w:val="00F9018B"/>
    <w:rsid w:val="00F90E0E"/>
    <w:rsid w:val="00FA7D94"/>
    <w:rsid w:val="00FE2F01"/>
    <w:rsid w:val="00FF2226"/>
    <w:rsid w:val="00FF32DF"/>
    <w:rsid w:val="00FF4410"/>
    <w:rsid w:val="010B7A7E"/>
    <w:rsid w:val="01C0285D"/>
    <w:rsid w:val="01E730A7"/>
    <w:rsid w:val="03CC21CB"/>
    <w:rsid w:val="044B1342"/>
    <w:rsid w:val="04517EE2"/>
    <w:rsid w:val="04AE7B23"/>
    <w:rsid w:val="04EB19BD"/>
    <w:rsid w:val="05CE5343"/>
    <w:rsid w:val="05D76A8A"/>
    <w:rsid w:val="06823015"/>
    <w:rsid w:val="06A311A1"/>
    <w:rsid w:val="070A15E5"/>
    <w:rsid w:val="07471040"/>
    <w:rsid w:val="07772BB5"/>
    <w:rsid w:val="07782386"/>
    <w:rsid w:val="07910C87"/>
    <w:rsid w:val="081D5D6C"/>
    <w:rsid w:val="084706BC"/>
    <w:rsid w:val="088D0A2A"/>
    <w:rsid w:val="09391D76"/>
    <w:rsid w:val="09C62F42"/>
    <w:rsid w:val="0A173755"/>
    <w:rsid w:val="0A650826"/>
    <w:rsid w:val="0AD81455"/>
    <w:rsid w:val="0B8708CB"/>
    <w:rsid w:val="0C0B1951"/>
    <w:rsid w:val="0C2661F0"/>
    <w:rsid w:val="0C847B90"/>
    <w:rsid w:val="0CCB02AC"/>
    <w:rsid w:val="0CD55F3A"/>
    <w:rsid w:val="0CD81BB9"/>
    <w:rsid w:val="0D691E1A"/>
    <w:rsid w:val="0D8B02C3"/>
    <w:rsid w:val="0DD56120"/>
    <w:rsid w:val="0DD6167C"/>
    <w:rsid w:val="0DFD0446"/>
    <w:rsid w:val="0E0F0718"/>
    <w:rsid w:val="0E46139C"/>
    <w:rsid w:val="0E9071AF"/>
    <w:rsid w:val="0ED6125B"/>
    <w:rsid w:val="0EE342BA"/>
    <w:rsid w:val="0F184718"/>
    <w:rsid w:val="0F2D2F1E"/>
    <w:rsid w:val="0F5736CB"/>
    <w:rsid w:val="0F5D7D2B"/>
    <w:rsid w:val="0F870C9D"/>
    <w:rsid w:val="0FC2269E"/>
    <w:rsid w:val="0FD9180B"/>
    <w:rsid w:val="101D3AF7"/>
    <w:rsid w:val="10566BCD"/>
    <w:rsid w:val="10857989"/>
    <w:rsid w:val="10EA6407"/>
    <w:rsid w:val="11840E3F"/>
    <w:rsid w:val="11A54207"/>
    <w:rsid w:val="11B5743C"/>
    <w:rsid w:val="11E778F3"/>
    <w:rsid w:val="12027FE0"/>
    <w:rsid w:val="125579AE"/>
    <w:rsid w:val="1265527C"/>
    <w:rsid w:val="12A266D8"/>
    <w:rsid w:val="13247725"/>
    <w:rsid w:val="134C29E0"/>
    <w:rsid w:val="1356536D"/>
    <w:rsid w:val="14784E88"/>
    <w:rsid w:val="147D240F"/>
    <w:rsid w:val="14BD5124"/>
    <w:rsid w:val="150757B2"/>
    <w:rsid w:val="15194B44"/>
    <w:rsid w:val="157E5720"/>
    <w:rsid w:val="158A4984"/>
    <w:rsid w:val="15AE71C5"/>
    <w:rsid w:val="161F51AE"/>
    <w:rsid w:val="16366E09"/>
    <w:rsid w:val="16776F1B"/>
    <w:rsid w:val="16CF7AEA"/>
    <w:rsid w:val="174811A1"/>
    <w:rsid w:val="177A646E"/>
    <w:rsid w:val="17D35E50"/>
    <w:rsid w:val="18921391"/>
    <w:rsid w:val="196C3258"/>
    <w:rsid w:val="19BF3D54"/>
    <w:rsid w:val="19F31E08"/>
    <w:rsid w:val="19FD3944"/>
    <w:rsid w:val="1A33386B"/>
    <w:rsid w:val="1A5A715A"/>
    <w:rsid w:val="1AC6529E"/>
    <w:rsid w:val="1B141C8C"/>
    <w:rsid w:val="1B2674C4"/>
    <w:rsid w:val="1B6F4D9F"/>
    <w:rsid w:val="1BFD34C8"/>
    <w:rsid w:val="1C1C14F7"/>
    <w:rsid w:val="1C961170"/>
    <w:rsid w:val="1C9E5196"/>
    <w:rsid w:val="1CD367B7"/>
    <w:rsid w:val="1DA11B93"/>
    <w:rsid w:val="1DE40966"/>
    <w:rsid w:val="1DE465B9"/>
    <w:rsid w:val="1E0C790D"/>
    <w:rsid w:val="1E365A5C"/>
    <w:rsid w:val="1E5D4AE2"/>
    <w:rsid w:val="1EC16BA6"/>
    <w:rsid w:val="1FA31BDA"/>
    <w:rsid w:val="20654579"/>
    <w:rsid w:val="20662112"/>
    <w:rsid w:val="20994C8B"/>
    <w:rsid w:val="20C02EC1"/>
    <w:rsid w:val="21155C47"/>
    <w:rsid w:val="213A7B7A"/>
    <w:rsid w:val="21AB37DC"/>
    <w:rsid w:val="22187F6B"/>
    <w:rsid w:val="22A7452B"/>
    <w:rsid w:val="22F6534C"/>
    <w:rsid w:val="22F866E1"/>
    <w:rsid w:val="22FD5643"/>
    <w:rsid w:val="230230BC"/>
    <w:rsid w:val="230374C4"/>
    <w:rsid w:val="230A1D58"/>
    <w:rsid w:val="23B720F8"/>
    <w:rsid w:val="2400280E"/>
    <w:rsid w:val="24165D76"/>
    <w:rsid w:val="24480FA2"/>
    <w:rsid w:val="245A43B2"/>
    <w:rsid w:val="2537175B"/>
    <w:rsid w:val="255D66F7"/>
    <w:rsid w:val="2584600A"/>
    <w:rsid w:val="258B7398"/>
    <w:rsid w:val="26255EEA"/>
    <w:rsid w:val="266A4BA9"/>
    <w:rsid w:val="26B811B0"/>
    <w:rsid w:val="26DA3F62"/>
    <w:rsid w:val="277E7F38"/>
    <w:rsid w:val="27A815DC"/>
    <w:rsid w:val="27D868FE"/>
    <w:rsid w:val="29126C8F"/>
    <w:rsid w:val="29632BE6"/>
    <w:rsid w:val="29D137E8"/>
    <w:rsid w:val="29E47F3B"/>
    <w:rsid w:val="2A581E7A"/>
    <w:rsid w:val="2A5B60D6"/>
    <w:rsid w:val="2A7C5F15"/>
    <w:rsid w:val="2AD03A9F"/>
    <w:rsid w:val="2AF852C6"/>
    <w:rsid w:val="2B2160A9"/>
    <w:rsid w:val="2B88658F"/>
    <w:rsid w:val="2BA10D31"/>
    <w:rsid w:val="2BF427E5"/>
    <w:rsid w:val="2BF6650A"/>
    <w:rsid w:val="2C0408BB"/>
    <w:rsid w:val="2C624F69"/>
    <w:rsid w:val="2C9455AC"/>
    <w:rsid w:val="2CC3481F"/>
    <w:rsid w:val="2CE9044C"/>
    <w:rsid w:val="2CFE4050"/>
    <w:rsid w:val="2D4B0D3D"/>
    <w:rsid w:val="2D52099D"/>
    <w:rsid w:val="2D914399"/>
    <w:rsid w:val="2DBF0527"/>
    <w:rsid w:val="2E1754DE"/>
    <w:rsid w:val="2E193AF1"/>
    <w:rsid w:val="2E583355"/>
    <w:rsid w:val="2E6B7E1D"/>
    <w:rsid w:val="2E935510"/>
    <w:rsid w:val="2ED16280"/>
    <w:rsid w:val="2F581F4C"/>
    <w:rsid w:val="2F7705BA"/>
    <w:rsid w:val="2FB95626"/>
    <w:rsid w:val="2FBD0880"/>
    <w:rsid w:val="30A4253E"/>
    <w:rsid w:val="30E47F2D"/>
    <w:rsid w:val="30EF55F8"/>
    <w:rsid w:val="317934AE"/>
    <w:rsid w:val="318027A3"/>
    <w:rsid w:val="31BC5AA4"/>
    <w:rsid w:val="31C003CA"/>
    <w:rsid w:val="32063503"/>
    <w:rsid w:val="324C3DB4"/>
    <w:rsid w:val="32551902"/>
    <w:rsid w:val="329306D7"/>
    <w:rsid w:val="32F26FC1"/>
    <w:rsid w:val="33724B48"/>
    <w:rsid w:val="33801B99"/>
    <w:rsid w:val="33947D60"/>
    <w:rsid w:val="33C74EB3"/>
    <w:rsid w:val="34272982"/>
    <w:rsid w:val="345F770D"/>
    <w:rsid w:val="347A0602"/>
    <w:rsid w:val="358B23EF"/>
    <w:rsid w:val="35A443D6"/>
    <w:rsid w:val="35E42C69"/>
    <w:rsid w:val="35E53E0B"/>
    <w:rsid w:val="35E900D9"/>
    <w:rsid w:val="35EB5C31"/>
    <w:rsid w:val="36392E40"/>
    <w:rsid w:val="36462F6A"/>
    <w:rsid w:val="36D15995"/>
    <w:rsid w:val="36E705CA"/>
    <w:rsid w:val="36F20992"/>
    <w:rsid w:val="36F40B16"/>
    <w:rsid w:val="36FB381F"/>
    <w:rsid w:val="37127B77"/>
    <w:rsid w:val="37490E61"/>
    <w:rsid w:val="37661ECC"/>
    <w:rsid w:val="37841E99"/>
    <w:rsid w:val="37C93CFE"/>
    <w:rsid w:val="38256F30"/>
    <w:rsid w:val="383C58CB"/>
    <w:rsid w:val="39390D26"/>
    <w:rsid w:val="39406F76"/>
    <w:rsid w:val="39592FB1"/>
    <w:rsid w:val="3971001E"/>
    <w:rsid w:val="397734A8"/>
    <w:rsid w:val="3981611B"/>
    <w:rsid w:val="39B50A30"/>
    <w:rsid w:val="39C96289"/>
    <w:rsid w:val="39CD7DFD"/>
    <w:rsid w:val="3A0271FA"/>
    <w:rsid w:val="3A211C22"/>
    <w:rsid w:val="3A7309EC"/>
    <w:rsid w:val="3B355DA8"/>
    <w:rsid w:val="3BA37EBC"/>
    <w:rsid w:val="3BC41787"/>
    <w:rsid w:val="3C580136"/>
    <w:rsid w:val="3C5871CC"/>
    <w:rsid w:val="3CA85992"/>
    <w:rsid w:val="3CC35212"/>
    <w:rsid w:val="3D342C2B"/>
    <w:rsid w:val="3D4F1704"/>
    <w:rsid w:val="3D5162DB"/>
    <w:rsid w:val="3D8E0DFD"/>
    <w:rsid w:val="3DC94AAA"/>
    <w:rsid w:val="3EC75C3B"/>
    <w:rsid w:val="3F0A4D35"/>
    <w:rsid w:val="3F141D40"/>
    <w:rsid w:val="406E3DBA"/>
    <w:rsid w:val="40775A02"/>
    <w:rsid w:val="40977F08"/>
    <w:rsid w:val="40E37755"/>
    <w:rsid w:val="40EB629F"/>
    <w:rsid w:val="40F30643"/>
    <w:rsid w:val="40F81F0E"/>
    <w:rsid w:val="41197AF6"/>
    <w:rsid w:val="412A0DDF"/>
    <w:rsid w:val="415A3663"/>
    <w:rsid w:val="415B43C7"/>
    <w:rsid w:val="41770510"/>
    <w:rsid w:val="41E66ECD"/>
    <w:rsid w:val="41EB79BF"/>
    <w:rsid w:val="42472441"/>
    <w:rsid w:val="429B38B9"/>
    <w:rsid w:val="42AE0AE4"/>
    <w:rsid w:val="430C5A05"/>
    <w:rsid w:val="43A22025"/>
    <w:rsid w:val="43CF0377"/>
    <w:rsid w:val="43DD4C6D"/>
    <w:rsid w:val="43EA6C6C"/>
    <w:rsid w:val="440D508C"/>
    <w:rsid w:val="443A4A72"/>
    <w:rsid w:val="44590106"/>
    <w:rsid w:val="445A5661"/>
    <w:rsid w:val="446A5C87"/>
    <w:rsid w:val="44C12057"/>
    <w:rsid w:val="44E17262"/>
    <w:rsid w:val="45281C24"/>
    <w:rsid w:val="45322F35"/>
    <w:rsid w:val="45331F3F"/>
    <w:rsid w:val="45E0346C"/>
    <w:rsid w:val="467B2A11"/>
    <w:rsid w:val="46AB4238"/>
    <w:rsid w:val="46BE0581"/>
    <w:rsid w:val="46C50C94"/>
    <w:rsid w:val="47035A6F"/>
    <w:rsid w:val="47C449BF"/>
    <w:rsid w:val="481057EF"/>
    <w:rsid w:val="482A3AE5"/>
    <w:rsid w:val="48587A42"/>
    <w:rsid w:val="490C3151"/>
    <w:rsid w:val="49214DB6"/>
    <w:rsid w:val="49605874"/>
    <w:rsid w:val="496C09E2"/>
    <w:rsid w:val="49AE490F"/>
    <w:rsid w:val="49B73572"/>
    <w:rsid w:val="49FB494E"/>
    <w:rsid w:val="4A3E6E40"/>
    <w:rsid w:val="4A704FDB"/>
    <w:rsid w:val="4A962C21"/>
    <w:rsid w:val="4A9F651D"/>
    <w:rsid w:val="4B052EAF"/>
    <w:rsid w:val="4B135E7E"/>
    <w:rsid w:val="4B1A129D"/>
    <w:rsid w:val="4B533601"/>
    <w:rsid w:val="4B9F509C"/>
    <w:rsid w:val="4BD033D3"/>
    <w:rsid w:val="4C0866C4"/>
    <w:rsid w:val="4C143C00"/>
    <w:rsid w:val="4C561BFF"/>
    <w:rsid w:val="4C693752"/>
    <w:rsid w:val="4C6F72CC"/>
    <w:rsid w:val="4CA11C8D"/>
    <w:rsid w:val="4CCA437D"/>
    <w:rsid w:val="4CD95B69"/>
    <w:rsid w:val="4CE65E1F"/>
    <w:rsid w:val="4CED164A"/>
    <w:rsid w:val="4D0021D4"/>
    <w:rsid w:val="4D121BF0"/>
    <w:rsid w:val="4D197C2F"/>
    <w:rsid w:val="4D495590"/>
    <w:rsid w:val="4D656C33"/>
    <w:rsid w:val="4E093C67"/>
    <w:rsid w:val="4E0B2A9E"/>
    <w:rsid w:val="4E0B2FDF"/>
    <w:rsid w:val="4E3207CE"/>
    <w:rsid w:val="4E912F51"/>
    <w:rsid w:val="4EB1772E"/>
    <w:rsid w:val="4ED55AB5"/>
    <w:rsid w:val="4F283BB1"/>
    <w:rsid w:val="4F355D45"/>
    <w:rsid w:val="4F59411A"/>
    <w:rsid w:val="4F744C39"/>
    <w:rsid w:val="4F8B701D"/>
    <w:rsid w:val="4FCE651C"/>
    <w:rsid w:val="50373AF5"/>
    <w:rsid w:val="509C2084"/>
    <w:rsid w:val="50C60E1A"/>
    <w:rsid w:val="51494287"/>
    <w:rsid w:val="51877190"/>
    <w:rsid w:val="51896380"/>
    <w:rsid w:val="519B3F7B"/>
    <w:rsid w:val="51DA56D9"/>
    <w:rsid w:val="521A36CE"/>
    <w:rsid w:val="5223404D"/>
    <w:rsid w:val="5256300E"/>
    <w:rsid w:val="52577A4E"/>
    <w:rsid w:val="526F2159"/>
    <w:rsid w:val="527338C9"/>
    <w:rsid w:val="527C6378"/>
    <w:rsid w:val="5285468D"/>
    <w:rsid w:val="52E57F6D"/>
    <w:rsid w:val="530436B8"/>
    <w:rsid w:val="53091B19"/>
    <w:rsid w:val="532742F5"/>
    <w:rsid w:val="536F35A6"/>
    <w:rsid w:val="538D6621"/>
    <w:rsid w:val="540E50DB"/>
    <w:rsid w:val="546A7124"/>
    <w:rsid w:val="5510772C"/>
    <w:rsid w:val="5548055C"/>
    <w:rsid w:val="554F533E"/>
    <w:rsid w:val="555B0286"/>
    <w:rsid w:val="557430F6"/>
    <w:rsid w:val="55751416"/>
    <w:rsid w:val="55946712"/>
    <w:rsid w:val="56785BC1"/>
    <w:rsid w:val="56E72741"/>
    <w:rsid w:val="56F35579"/>
    <w:rsid w:val="58102660"/>
    <w:rsid w:val="58166084"/>
    <w:rsid w:val="58793BCE"/>
    <w:rsid w:val="58874BEE"/>
    <w:rsid w:val="58BD1F87"/>
    <w:rsid w:val="58D562B1"/>
    <w:rsid w:val="596A37E4"/>
    <w:rsid w:val="596F2A33"/>
    <w:rsid w:val="597B3500"/>
    <w:rsid w:val="59804E3E"/>
    <w:rsid w:val="598F04FE"/>
    <w:rsid w:val="59A8179E"/>
    <w:rsid w:val="5A6D6608"/>
    <w:rsid w:val="5A9378D7"/>
    <w:rsid w:val="5AC860D0"/>
    <w:rsid w:val="5AFA38A3"/>
    <w:rsid w:val="5B1B3EB6"/>
    <w:rsid w:val="5B25346B"/>
    <w:rsid w:val="5B4A2F91"/>
    <w:rsid w:val="5B757301"/>
    <w:rsid w:val="5BCC71D4"/>
    <w:rsid w:val="5C1A786F"/>
    <w:rsid w:val="5C5770D0"/>
    <w:rsid w:val="5C6D654C"/>
    <w:rsid w:val="5C8C341B"/>
    <w:rsid w:val="5C910060"/>
    <w:rsid w:val="5CD13531"/>
    <w:rsid w:val="5D092AA9"/>
    <w:rsid w:val="5D1B794C"/>
    <w:rsid w:val="5D2B5690"/>
    <w:rsid w:val="5D63396B"/>
    <w:rsid w:val="5DAD3C44"/>
    <w:rsid w:val="5DBB4157"/>
    <w:rsid w:val="5DCA5357"/>
    <w:rsid w:val="5E4906E6"/>
    <w:rsid w:val="5F217F5E"/>
    <w:rsid w:val="5F2E07B9"/>
    <w:rsid w:val="5F2E3428"/>
    <w:rsid w:val="5F3D7A1B"/>
    <w:rsid w:val="5F5A38C9"/>
    <w:rsid w:val="5F9F43EE"/>
    <w:rsid w:val="600532C8"/>
    <w:rsid w:val="602E6E58"/>
    <w:rsid w:val="60562FFC"/>
    <w:rsid w:val="606456FF"/>
    <w:rsid w:val="606F0719"/>
    <w:rsid w:val="607858DE"/>
    <w:rsid w:val="60B43547"/>
    <w:rsid w:val="60C35653"/>
    <w:rsid w:val="60E36EC7"/>
    <w:rsid w:val="611C0E84"/>
    <w:rsid w:val="61250763"/>
    <w:rsid w:val="6126514E"/>
    <w:rsid w:val="614B5652"/>
    <w:rsid w:val="619E52F6"/>
    <w:rsid w:val="61C40522"/>
    <w:rsid w:val="61E10421"/>
    <w:rsid w:val="621C6FEF"/>
    <w:rsid w:val="6230179A"/>
    <w:rsid w:val="623170E5"/>
    <w:rsid w:val="62330EBD"/>
    <w:rsid w:val="623355F7"/>
    <w:rsid w:val="62351C36"/>
    <w:rsid w:val="62466C5C"/>
    <w:rsid w:val="62741952"/>
    <w:rsid w:val="632D575F"/>
    <w:rsid w:val="63481212"/>
    <w:rsid w:val="63643710"/>
    <w:rsid w:val="64621F06"/>
    <w:rsid w:val="64D86856"/>
    <w:rsid w:val="64E56C97"/>
    <w:rsid w:val="650D6FB3"/>
    <w:rsid w:val="65616BB5"/>
    <w:rsid w:val="6569554E"/>
    <w:rsid w:val="656D779C"/>
    <w:rsid w:val="666845B1"/>
    <w:rsid w:val="66805D9E"/>
    <w:rsid w:val="66BD583D"/>
    <w:rsid w:val="67007E39"/>
    <w:rsid w:val="671F7E35"/>
    <w:rsid w:val="675A65EF"/>
    <w:rsid w:val="682E02AC"/>
    <w:rsid w:val="68300235"/>
    <w:rsid w:val="68DB2B3B"/>
    <w:rsid w:val="68E21E86"/>
    <w:rsid w:val="68E4754B"/>
    <w:rsid w:val="68EA3173"/>
    <w:rsid w:val="69192849"/>
    <w:rsid w:val="697B5ABB"/>
    <w:rsid w:val="697F63BC"/>
    <w:rsid w:val="69E52355"/>
    <w:rsid w:val="6A2457A9"/>
    <w:rsid w:val="6A40488E"/>
    <w:rsid w:val="6B070C5E"/>
    <w:rsid w:val="6B104341"/>
    <w:rsid w:val="6B8A2E5F"/>
    <w:rsid w:val="6C116F4A"/>
    <w:rsid w:val="6CB50D34"/>
    <w:rsid w:val="6CE31322"/>
    <w:rsid w:val="6CF04EE9"/>
    <w:rsid w:val="6D5451DF"/>
    <w:rsid w:val="6D577FC6"/>
    <w:rsid w:val="6D602485"/>
    <w:rsid w:val="6DD80F51"/>
    <w:rsid w:val="6DEA6A50"/>
    <w:rsid w:val="6E8C5638"/>
    <w:rsid w:val="6EBC0443"/>
    <w:rsid w:val="6F3A40E4"/>
    <w:rsid w:val="6F456C3C"/>
    <w:rsid w:val="6F641AA7"/>
    <w:rsid w:val="702E67FF"/>
    <w:rsid w:val="707E6C0E"/>
    <w:rsid w:val="70AE72B2"/>
    <w:rsid w:val="70EA0CDC"/>
    <w:rsid w:val="70F679C3"/>
    <w:rsid w:val="7178325F"/>
    <w:rsid w:val="717D79A1"/>
    <w:rsid w:val="72B46DF7"/>
    <w:rsid w:val="72B648F6"/>
    <w:rsid w:val="72E90D7C"/>
    <w:rsid w:val="72EA56D8"/>
    <w:rsid w:val="72F16A35"/>
    <w:rsid w:val="7382293E"/>
    <w:rsid w:val="73BA3D6B"/>
    <w:rsid w:val="746D4A81"/>
    <w:rsid w:val="74880A9D"/>
    <w:rsid w:val="74E855F8"/>
    <w:rsid w:val="755F6203"/>
    <w:rsid w:val="759216EA"/>
    <w:rsid w:val="75BA294F"/>
    <w:rsid w:val="75CA323C"/>
    <w:rsid w:val="768D36F0"/>
    <w:rsid w:val="76A0321C"/>
    <w:rsid w:val="7754628C"/>
    <w:rsid w:val="779C3D74"/>
    <w:rsid w:val="77A952F9"/>
    <w:rsid w:val="77D57387"/>
    <w:rsid w:val="78864542"/>
    <w:rsid w:val="79252D6E"/>
    <w:rsid w:val="794C5906"/>
    <w:rsid w:val="79605D27"/>
    <w:rsid w:val="79D957D7"/>
    <w:rsid w:val="79FC1788"/>
    <w:rsid w:val="7A51289B"/>
    <w:rsid w:val="7A682979"/>
    <w:rsid w:val="7A801C59"/>
    <w:rsid w:val="7AF72429"/>
    <w:rsid w:val="7B3E6212"/>
    <w:rsid w:val="7B7F2602"/>
    <w:rsid w:val="7B8C6B3B"/>
    <w:rsid w:val="7BCF0F90"/>
    <w:rsid w:val="7C6346EE"/>
    <w:rsid w:val="7D541B6F"/>
    <w:rsid w:val="7D603D0A"/>
    <w:rsid w:val="7D7560EF"/>
    <w:rsid w:val="7DAD6E68"/>
    <w:rsid w:val="7DDA593C"/>
    <w:rsid w:val="7E145505"/>
    <w:rsid w:val="7E210F1C"/>
    <w:rsid w:val="7E2748F9"/>
    <w:rsid w:val="7E5A065E"/>
    <w:rsid w:val="7E762BD0"/>
    <w:rsid w:val="7ECD0153"/>
    <w:rsid w:val="7F0843CD"/>
    <w:rsid w:val="7F2954AD"/>
    <w:rsid w:val="7F6A7BE3"/>
    <w:rsid w:val="7F812045"/>
    <w:rsid w:val="7F943D05"/>
    <w:rsid w:val="7FCF0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14"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1"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outlineLvl w:val="0"/>
    </w:pPr>
    <w:rPr>
      <w:rFonts w:ascii="Bookman Old Style" w:hAnsi="Bookman Old Style"/>
      <w:b/>
      <w:spacing w:val="-6"/>
      <w:sz w:val="24"/>
      <w:lang w:val="en-GB"/>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autoRedefine/>
    <w:qFormat/>
    <w:uiPriority w:val="0"/>
    <w:pPr>
      <w:keepNext/>
      <w:keepLines/>
      <w:spacing w:before="260" w:after="260" w:line="415" w:lineRule="auto"/>
      <w:outlineLvl w:val="2"/>
    </w:pPr>
    <w:rPr>
      <w:b/>
      <w:sz w:val="32"/>
    </w:rPr>
  </w:style>
  <w:style w:type="paragraph" w:styleId="5">
    <w:name w:val="heading 4"/>
    <w:basedOn w:val="1"/>
    <w:next w:val="1"/>
    <w:autoRedefine/>
    <w:qFormat/>
    <w:uiPriority w:val="0"/>
    <w:pPr>
      <w:keepNext/>
      <w:keepLines/>
      <w:spacing w:before="280" w:after="290" w:line="374" w:lineRule="auto"/>
      <w:outlineLvl w:val="3"/>
    </w:pPr>
    <w:rPr>
      <w:rFonts w:ascii="Arial" w:hAnsi="Arial" w:eastAsia="黑体"/>
      <w:b/>
      <w:sz w:val="28"/>
    </w:rPr>
  </w:style>
  <w:style w:type="paragraph" w:styleId="6">
    <w:name w:val="heading 5"/>
    <w:next w:val="1"/>
    <w:autoRedefine/>
    <w:qFormat/>
    <w:uiPriority w:val="14"/>
    <w:pPr>
      <w:keepNext/>
      <w:widowControl w:val="0"/>
      <w:spacing w:line="360" w:lineRule="auto"/>
      <w:ind w:firstLine="480" w:firstLineChars="200"/>
      <w:jc w:val="both"/>
      <w:outlineLvl w:val="4"/>
    </w:pPr>
    <w:rPr>
      <w:rFonts w:ascii="宋体" w:hAnsi="Calibri" w:eastAsia="宋体" w:cs="Cambria"/>
      <w:bCs/>
      <w:sz w:val="24"/>
      <w:szCs w:val="28"/>
      <w:lang w:val="en-US" w:eastAsia="zh-CN" w:bidi="ar-SA"/>
    </w:rPr>
  </w:style>
  <w:style w:type="character" w:default="1" w:styleId="25">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7">
    <w:name w:val="Document Map"/>
    <w:basedOn w:val="1"/>
    <w:autoRedefine/>
    <w:qFormat/>
    <w:uiPriority w:val="0"/>
    <w:pPr>
      <w:shd w:val="clear" w:color="auto" w:fill="000080"/>
    </w:pPr>
  </w:style>
  <w:style w:type="paragraph" w:styleId="8">
    <w:name w:val="annotation text"/>
    <w:basedOn w:val="1"/>
    <w:autoRedefine/>
    <w:qFormat/>
    <w:uiPriority w:val="0"/>
    <w:pPr>
      <w:jc w:val="left"/>
    </w:pPr>
  </w:style>
  <w:style w:type="paragraph" w:styleId="9">
    <w:name w:val="Body Text 3"/>
    <w:basedOn w:val="1"/>
    <w:autoRedefine/>
    <w:qFormat/>
    <w:uiPriority w:val="0"/>
    <w:rPr>
      <w:rFonts w:ascii="宋体"/>
      <w:sz w:val="24"/>
    </w:rPr>
  </w:style>
  <w:style w:type="paragraph" w:styleId="10">
    <w:name w:val="Body Text"/>
    <w:basedOn w:val="1"/>
    <w:autoRedefine/>
    <w:qFormat/>
    <w:uiPriority w:val="0"/>
    <w:pPr>
      <w:spacing w:after="120"/>
    </w:pPr>
  </w:style>
  <w:style w:type="paragraph" w:styleId="11">
    <w:name w:val="Body Text Indent"/>
    <w:basedOn w:val="1"/>
    <w:autoRedefine/>
    <w:qFormat/>
    <w:uiPriority w:val="0"/>
    <w:pPr>
      <w:adjustRightInd w:val="0"/>
      <w:spacing w:line="360" w:lineRule="atLeast"/>
      <w:ind w:left="92"/>
      <w:jc w:val="left"/>
      <w:textAlignment w:val="baseline"/>
    </w:pPr>
    <w:rPr>
      <w:rFonts w:ascii="宋体"/>
      <w:kern w:val="0"/>
      <w:sz w:val="24"/>
    </w:rPr>
  </w:style>
  <w:style w:type="paragraph" w:styleId="12">
    <w:name w:val="toc 3"/>
    <w:basedOn w:val="1"/>
    <w:next w:val="1"/>
    <w:autoRedefine/>
    <w:qFormat/>
    <w:uiPriority w:val="0"/>
    <w:pPr>
      <w:ind w:left="840" w:leftChars="400"/>
    </w:pPr>
  </w:style>
  <w:style w:type="paragraph" w:styleId="13">
    <w:name w:val="Date"/>
    <w:basedOn w:val="1"/>
    <w:next w:val="1"/>
    <w:autoRedefine/>
    <w:qFormat/>
    <w:uiPriority w:val="0"/>
    <w:pPr>
      <w:ind w:left="100" w:leftChars="2500"/>
    </w:pPr>
    <w:rPr>
      <w:sz w:val="28"/>
    </w:rPr>
  </w:style>
  <w:style w:type="paragraph" w:styleId="14">
    <w:name w:val="Balloon Text"/>
    <w:basedOn w:val="1"/>
    <w:autoRedefine/>
    <w:qFormat/>
    <w:uiPriority w:val="0"/>
    <w:rPr>
      <w:sz w:val="18"/>
    </w:rPr>
  </w:style>
  <w:style w:type="paragraph" w:styleId="15">
    <w:name w:val="footer"/>
    <w:basedOn w:val="1"/>
    <w:autoRedefine/>
    <w:qFormat/>
    <w:uiPriority w:val="0"/>
    <w:pPr>
      <w:tabs>
        <w:tab w:val="center" w:pos="4153"/>
        <w:tab w:val="right" w:pos="8306"/>
      </w:tabs>
      <w:adjustRightInd w:val="0"/>
      <w:snapToGrid w:val="0"/>
      <w:spacing w:line="240" w:lineRule="atLeast"/>
      <w:jc w:val="left"/>
      <w:textAlignment w:val="baseline"/>
    </w:pPr>
    <w:rPr>
      <w:kern w:val="0"/>
      <w:sz w:val="18"/>
    </w:rPr>
  </w:style>
  <w:style w:type="paragraph" w:styleId="16">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7">
    <w:name w:val="toc 1"/>
    <w:basedOn w:val="1"/>
    <w:next w:val="1"/>
    <w:autoRedefine/>
    <w:qFormat/>
    <w:uiPriority w:val="0"/>
    <w:pPr>
      <w:tabs>
        <w:tab w:val="right" w:leader="dot" w:pos="8302"/>
      </w:tabs>
      <w:jc w:val="center"/>
    </w:pPr>
    <w:rPr>
      <w:rFonts w:ascii="黑体" w:eastAsia="黑体"/>
      <w:sz w:val="32"/>
    </w:rPr>
  </w:style>
  <w:style w:type="paragraph" w:styleId="18">
    <w:name w:val="toc 2"/>
    <w:basedOn w:val="1"/>
    <w:next w:val="1"/>
    <w:autoRedefine/>
    <w:qFormat/>
    <w:uiPriority w:val="0"/>
    <w:pPr>
      <w:ind w:left="420" w:leftChars="200"/>
    </w:pPr>
  </w:style>
  <w:style w:type="paragraph" w:styleId="19">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8"/>
    <w:next w:val="8"/>
    <w:autoRedefine/>
    <w:qFormat/>
    <w:uiPriority w:val="0"/>
    <w:rPr>
      <w:b/>
    </w:rPr>
  </w:style>
  <w:style w:type="paragraph" w:styleId="21">
    <w:name w:val="Body Text First Indent"/>
    <w:basedOn w:val="1"/>
    <w:autoRedefine/>
    <w:qFormat/>
    <w:uiPriority w:val="1"/>
    <w:pPr>
      <w:spacing w:line="360" w:lineRule="auto"/>
      <w:ind w:firstLine="200" w:firstLineChars="200"/>
    </w:pPr>
  </w:style>
  <w:style w:type="paragraph" w:styleId="22">
    <w:name w:val="Body Text First Indent 2"/>
    <w:autoRedefine/>
    <w:qFormat/>
    <w:uiPriority w:val="0"/>
    <w:pPr>
      <w:spacing w:after="120" w:line="360" w:lineRule="auto"/>
      <w:ind w:left="420" w:leftChars="200" w:firstLine="420" w:firstLineChars="200"/>
    </w:pPr>
    <w:rPr>
      <w:rFonts w:ascii="Times New Roman" w:hAnsi="Times New Roman" w:eastAsia="宋体" w:cs="宋体"/>
      <w:szCs w:val="24"/>
      <w:lang w:val="en-US" w:eastAsia="zh-CN" w:bidi="ar-SA"/>
    </w:rPr>
  </w:style>
  <w:style w:type="table" w:styleId="24">
    <w:name w:val="Table Grid"/>
    <w:basedOn w:val="2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autoRedefine/>
    <w:qFormat/>
    <w:uiPriority w:val="0"/>
    <w:rPr>
      <w:lang w:val="en-US" w:eastAsia="zh-CN"/>
    </w:rPr>
  </w:style>
  <w:style w:type="character" w:styleId="27">
    <w:name w:val="Hyperlink"/>
    <w:autoRedefine/>
    <w:qFormat/>
    <w:uiPriority w:val="0"/>
    <w:rPr>
      <w:color w:val="0000FF"/>
      <w:u w:val="single"/>
      <w:lang w:val="en-US" w:eastAsia="zh-CN"/>
    </w:rPr>
  </w:style>
  <w:style w:type="character" w:styleId="28">
    <w:name w:val="annotation reference"/>
    <w:autoRedefine/>
    <w:qFormat/>
    <w:uiPriority w:val="0"/>
    <w:rPr>
      <w:sz w:val="21"/>
      <w:lang w:val="en-US" w:eastAsia="zh-CN"/>
    </w:rPr>
  </w:style>
  <w:style w:type="paragraph" w:customStyle="1" w:styleId="29">
    <w:name w:val="Char"/>
    <w:basedOn w:val="1"/>
    <w:autoRedefine/>
    <w:qFormat/>
    <w:uiPriority w:val="0"/>
    <w:pPr>
      <w:spacing w:before="120" w:after="120" w:line="600" w:lineRule="exact"/>
      <w:ind w:left="99" w:leftChars="47" w:firstLine="482" w:firstLineChars="200"/>
      <w:jc w:val="center"/>
      <w:outlineLvl w:val="0"/>
    </w:pPr>
    <w:rPr>
      <w:rFonts w:ascii="Tahoma" w:hAnsi="Tahoma"/>
      <w:b/>
      <w:sz w:val="28"/>
    </w:rPr>
  </w:style>
  <w:style w:type="paragraph" w:customStyle="1" w:styleId="30">
    <w:name w:val="默认段落字体 Para Char Char Char Char Char Char Char Char Char1 Char"/>
    <w:basedOn w:val="1"/>
    <w:autoRedefine/>
    <w:qFormat/>
    <w:uiPriority w:val="0"/>
    <w:rPr>
      <w:rFonts w:ascii="Tahoma" w:hAnsi="Tahoma"/>
      <w:b/>
      <w:sz w:val="28"/>
    </w:rPr>
  </w:style>
  <w:style w:type="paragraph" w:customStyle="1" w:styleId="31">
    <w:name w:val="第二章小节标题"/>
    <w:next w:val="10"/>
    <w:autoRedefine/>
    <w:qFormat/>
    <w:uiPriority w:val="0"/>
    <w:pPr>
      <w:widowControl w:val="0"/>
      <w:numPr>
        <w:ilvl w:val="2"/>
        <w:numId w:val="1"/>
      </w:numPr>
      <w:spacing w:before="120" w:beforeLines="50" w:after="120" w:afterLines="50" w:line="400" w:lineRule="exact"/>
      <w:outlineLvl w:val="2"/>
    </w:pPr>
    <w:rPr>
      <w:rFonts w:ascii="Times New Roman" w:hAnsi="Times New Roman" w:eastAsia="宋体" w:cs="Times New Roman"/>
      <w:kern w:val="2"/>
      <w:sz w:val="24"/>
      <w:szCs w:val="24"/>
      <w:lang w:val="en-US" w:eastAsia="zh-CN" w:bidi="ar-SA"/>
    </w:rPr>
  </w:style>
  <w:style w:type="paragraph" w:customStyle="1" w:styleId="32">
    <w:name w:val="第二章章标题"/>
    <w:basedOn w:val="1"/>
    <w:next w:val="10"/>
    <w:autoRedefine/>
    <w:qFormat/>
    <w:uiPriority w:val="0"/>
    <w:pPr>
      <w:numPr>
        <w:ilvl w:val="0"/>
        <w:numId w:val="1"/>
      </w:numPr>
      <w:spacing w:before="240" w:after="240" w:line="400" w:lineRule="exact"/>
      <w:jc w:val="left"/>
      <w:outlineLvl w:val="0"/>
    </w:pPr>
    <w:rPr>
      <w:rFonts w:ascii="黑体" w:hAnsi="Arial" w:eastAsia="黑体" w:cs="宋体"/>
      <w:b/>
      <w:bCs/>
      <w:sz w:val="30"/>
    </w:rPr>
  </w:style>
  <w:style w:type="paragraph" w:customStyle="1" w:styleId="33">
    <w:name w:val="第二章节标题2"/>
    <w:next w:val="10"/>
    <w:autoRedefine/>
    <w:qFormat/>
    <w:uiPriority w:val="0"/>
    <w:pPr>
      <w:numPr>
        <w:ilvl w:val="1"/>
        <w:numId w:val="1"/>
      </w:numPr>
      <w:spacing w:before="120" w:beforeLines="50" w:after="120" w:afterLines="50" w:line="400" w:lineRule="exact"/>
      <w:outlineLvl w:val="1"/>
    </w:pPr>
    <w:rPr>
      <w:rFonts w:ascii="Arial" w:hAnsi="Arial" w:eastAsia="宋体" w:cs="Times New Roman"/>
      <w:bCs/>
      <w:kern w:val="2"/>
      <w:sz w:val="24"/>
      <w:lang w:val="en-US" w:eastAsia="zh-CN" w:bidi="ar-SA"/>
    </w:rPr>
  </w:style>
  <w:style w:type="paragraph" w:customStyle="1" w:styleId="34">
    <w:name w:val="第二章小小节标题"/>
    <w:next w:val="10"/>
    <w:autoRedefine/>
    <w:qFormat/>
    <w:uiPriority w:val="0"/>
    <w:pPr>
      <w:numPr>
        <w:ilvl w:val="3"/>
        <w:numId w:val="1"/>
      </w:numPr>
      <w:spacing w:before="120" w:after="120" w:line="400" w:lineRule="exact"/>
    </w:pPr>
    <w:rPr>
      <w:rFonts w:ascii="宋体" w:hAnsi="宋体" w:eastAsia="宋体" w:cs="Times New Roman"/>
      <w:color w:val="000000"/>
      <w:kern w:val="2"/>
      <w:sz w:val="24"/>
      <w:szCs w:val="24"/>
      <w:lang w:val="en-US" w:eastAsia="zh-CN" w:bidi="ar-SA"/>
    </w:rPr>
  </w:style>
  <w:style w:type="paragraph" w:customStyle="1" w:styleId="35">
    <w:name w:val="样式 样式 JY的小节标题 + 首行缩进:  2 字符 + 段前: 0.5 行 段后: 0.5 行"/>
    <w:basedOn w:val="1"/>
    <w:autoRedefine/>
    <w:qFormat/>
    <w:uiPriority w:val="0"/>
    <w:pPr>
      <w:spacing w:line="360" w:lineRule="auto"/>
      <w:outlineLvl w:val="2"/>
    </w:pPr>
    <w:rPr>
      <w:rFonts w:ascii="宋体" w:hAnsi="宋体"/>
      <w:sz w:val="24"/>
    </w:rPr>
  </w:style>
  <w:style w:type="paragraph" w:customStyle="1" w:styleId="36">
    <w:name w:val="列表段落1"/>
    <w:basedOn w:val="1"/>
    <w:autoRedefine/>
    <w:qFormat/>
    <w:uiPriority w:val="34"/>
    <w:pPr>
      <w:ind w:firstLine="420" w:firstLineChars="200"/>
    </w:pPr>
  </w:style>
  <w:style w:type="paragraph" w:customStyle="1" w:styleId="37">
    <w:name w:val="列出段落1"/>
    <w:basedOn w:val="1"/>
    <w:autoRedefine/>
    <w:qFormat/>
    <w:uiPriority w:val="34"/>
    <w:pPr>
      <w:ind w:firstLine="420" w:firstLineChars="200"/>
    </w:pPr>
    <w:rPr>
      <w:rFonts w:ascii="Calibri" w:hAnsi="Calibri"/>
    </w:rPr>
  </w:style>
  <w:style w:type="paragraph" w:customStyle="1" w:styleId="38">
    <w:name w:val="正文_0"/>
    <w:autoRedefine/>
    <w:qFormat/>
    <w:uiPriority w:val="0"/>
    <w:rPr>
      <w:rFonts w:ascii="宋体" w:hAnsi="宋体" w:eastAsia="宋体" w:cs="宋体"/>
      <w:sz w:val="24"/>
      <w:szCs w:val="24"/>
      <w:lang w:val="en-US" w:eastAsia="zh-CN" w:bidi="ar-SA"/>
    </w:rPr>
  </w:style>
  <w:style w:type="paragraph" w:customStyle="1" w:styleId="39">
    <w:name w:val="5"/>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0">
    <w:name w:val="font11"/>
    <w:basedOn w:val="25"/>
    <w:autoRedefine/>
    <w:qFormat/>
    <w:uiPriority w:val="0"/>
    <w:rPr>
      <w:rFonts w:hint="eastAsia" w:ascii="宋体" w:hAnsi="宋体" w:eastAsia="宋体" w:cs="宋体"/>
      <w:color w:val="000000"/>
      <w:sz w:val="18"/>
      <w:szCs w:val="18"/>
      <w:u w:val="none"/>
    </w:rPr>
  </w:style>
  <w:style w:type="character" w:customStyle="1" w:styleId="41">
    <w:name w:val="font21"/>
    <w:basedOn w:val="25"/>
    <w:autoRedefine/>
    <w:qFormat/>
    <w:uiPriority w:val="0"/>
    <w:rPr>
      <w:rFonts w:ascii="仿宋" w:hAnsi="仿宋" w:eastAsia="仿宋" w:cs="仿宋"/>
      <w:color w:val="000000"/>
      <w:sz w:val="18"/>
      <w:szCs w:val="18"/>
      <w:u w:val="none"/>
    </w:rPr>
  </w:style>
  <w:style w:type="character" w:customStyle="1" w:styleId="42">
    <w:name w:val="font71"/>
    <w:basedOn w:val="25"/>
    <w:autoRedefine/>
    <w:qFormat/>
    <w:uiPriority w:val="0"/>
    <w:rPr>
      <w:rFonts w:ascii="Arial" w:hAnsi="Arial" w:cs="Arial"/>
      <w:b/>
      <w:bCs/>
      <w:color w:val="000000"/>
      <w:sz w:val="24"/>
      <w:szCs w:val="24"/>
      <w:u w:val="none"/>
    </w:rPr>
  </w:style>
  <w:style w:type="character" w:customStyle="1" w:styleId="43">
    <w:name w:val="font31"/>
    <w:basedOn w:val="25"/>
    <w:autoRedefine/>
    <w:qFormat/>
    <w:uiPriority w:val="0"/>
    <w:rPr>
      <w:rFonts w:hint="eastAsia" w:ascii="仿宋_GB2312" w:eastAsia="仿宋_GB2312" w:cs="仿宋_GB2312"/>
      <w:b/>
      <w:bCs/>
      <w:color w:val="000000"/>
      <w:sz w:val="24"/>
      <w:szCs w:val="24"/>
      <w:u w:val="none"/>
    </w:rPr>
  </w:style>
  <w:style w:type="character" w:customStyle="1" w:styleId="44">
    <w:name w:val="font61"/>
    <w:basedOn w:val="25"/>
    <w:autoRedefine/>
    <w:qFormat/>
    <w:uiPriority w:val="0"/>
    <w:rPr>
      <w:rFonts w:hint="eastAsia" w:ascii="仿宋_GB2312" w:eastAsia="仿宋_GB2312" w:cs="仿宋_GB2312"/>
      <w:b/>
      <w:bCs/>
      <w:color w:val="000000"/>
      <w:sz w:val="24"/>
      <w:szCs w:val="24"/>
      <w:u w:val="single"/>
    </w:rPr>
  </w:style>
  <w:style w:type="character" w:customStyle="1" w:styleId="45">
    <w:name w:val="font81"/>
    <w:basedOn w:val="25"/>
    <w:autoRedefine/>
    <w:qFormat/>
    <w:uiPriority w:val="0"/>
    <w:rPr>
      <w:rFonts w:hint="eastAsia" w:ascii="方正小标宋简体" w:hAnsi="方正小标宋简体" w:eastAsia="方正小标宋简体" w:cs="方正小标宋简体"/>
      <w:color w:val="000000"/>
      <w:sz w:val="32"/>
      <w:szCs w:val="32"/>
      <w:u w:val="single"/>
    </w:rPr>
  </w:style>
  <w:style w:type="character" w:customStyle="1" w:styleId="46">
    <w:name w:val="font91"/>
    <w:basedOn w:val="25"/>
    <w:autoRedefine/>
    <w:qFormat/>
    <w:uiPriority w:val="0"/>
    <w:rPr>
      <w:rFonts w:hint="eastAsia" w:ascii="仿宋_GB2312" w:eastAsia="仿宋_GB2312" w:cs="仿宋_GB2312"/>
      <w:b/>
      <w:bCs/>
      <w:color w:val="000000"/>
      <w:sz w:val="20"/>
      <w:szCs w:val="20"/>
      <w:u w:val="single"/>
    </w:rPr>
  </w:style>
  <w:style w:type="character" w:customStyle="1" w:styleId="47">
    <w:name w:val="font41"/>
    <w:basedOn w:val="25"/>
    <w:autoRedefine/>
    <w:qFormat/>
    <w:uiPriority w:val="0"/>
    <w:rPr>
      <w:rFonts w:hint="eastAsia" w:ascii="仿宋_GB2312" w:eastAsia="仿宋_GB2312" w:cs="仿宋_GB2312"/>
      <w:b/>
      <w:bCs/>
      <w:color w:val="000000"/>
      <w:sz w:val="20"/>
      <w:szCs w:val="20"/>
      <w:u w:val="none"/>
    </w:rPr>
  </w:style>
  <w:style w:type="character" w:customStyle="1" w:styleId="48">
    <w:name w:val="font51"/>
    <w:basedOn w:val="25"/>
    <w:autoRedefine/>
    <w:qFormat/>
    <w:uiPriority w:val="0"/>
    <w:rPr>
      <w:rFonts w:hint="eastAsia" w:ascii="宋体" w:hAnsi="宋体" w:eastAsia="宋体" w:cs="宋体"/>
      <w:b/>
      <w:bCs/>
      <w:color w:val="000000"/>
      <w:sz w:val="20"/>
      <w:szCs w:val="20"/>
      <w:u w:val="none"/>
    </w:rPr>
  </w:style>
  <w:style w:type="character" w:customStyle="1" w:styleId="49">
    <w:name w:val="font101"/>
    <w:basedOn w:val="25"/>
    <w:autoRedefine/>
    <w:qFormat/>
    <w:uiPriority w:val="0"/>
    <w:rPr>
      <w:rFonts w:hint="eastAsia" w:ascii="仿宋_GB2312" w:eastAsia="仿宋_GB2312" w:cs="仿宋_GB2312"/>
      <w:b/>
      <w:bCs/>
      <w:color w:val="000000"/>
      <w:sz w:val="20"/>
      <w:szCs w:val="20"/>
      <w:u w:val="single"/>
    </w:rPr>
  </w:style>
  <w:style w:type="character" w:customStyle="1" w:styleId="50">
    <w:name w:val="font141"/>
    <w:basedOn w:val="25"/>
    <w:qFormat/>
    <w:uiPriority w:val="0"/>
    <w:rPr>
      <w:rFonts w:hint="eastAsia" w:ascii="方正小标宋简体" w:hAnsi="方正小标宋简体" w:eastAsia="方正小标宋简体" w:cs="方正小标宋简体"/>
      <w:color w:val="000000"/>
      <w:sz w:val="32"/>
      <w:szCs w:val="32"/>
      <w:u w:val="single"/>
    </w:rPr>
  </w:style>
  <w:style w:type="character" w:customStyle="1" w:styleId="51">
    <w:name w:val="font151"/>
    <w:basedOn w:val="25"/>
    <w:qFormat/>
    <w:uiPriority w:val="0"/>
    <w:rPr>
      <w:rFonts w:hint="eastAsia" w:ascii="仿宋_GB2312" w:eastAsia="仿宋_GB2312" w:cs="仿宋_GB2312"/>
      <w:color w:val="000000"/>
      <w:sz w:val="22"/>
      <w:szCs w:val="22"/>
      <w:u w:val="none"/>
    </w:rPr>
  </w:style>
  <w:style w:type="character" w:customStyle="1" w:styleId="52">
    <w:name w:val="font161"/>
    <w:basedOn w:val="25"/>
    <w:qFormat/>
    <w:uiPriority w:val="0"/>
    <w:rPr>
      <w:rFonts w:ascii="Arial" w:hAnsi="Arial" w:cs="Arial"/>
      <w:color w:val="000000"/>
      <w:sz w:val="20"/>
      <w:szCs w:val="20"/>
      <w:u w:val="none"/>
    </w:rPr>
  </w:style>
  <w:style w:type="character" w:customStyle="1" w:styleId="53">
    <w:name w:val="font171"/>
    <w:basedOn w:val="25"/>
    <w:qFormat/>
    <w:uiPriority w:val="0"/>
    <w:rPr>
      <w:rFonts w:hint="eastAsia" w:ascii="仿宋_GB2312" w:eastAsia="仿宋_GB2312" w:cs="仿宋_GB2312"/>
      <w:color w:val="FF0000"/>
      <w:sz w:val="20"/>
      <w:szCs w:val="20"/>
      <w:u w:val="none"/>
    </w:rPr>
  </w:style>
  <w:style w:type="character" w:customStyle="1" w:styleId="54">
    <w:name w:val="font181"/>
    <w:basedOn w:val="25"/>
    <w:qFormat/>
    <w:uiPriority w:val="0"/>
    <w:rPr>
      <w:rFonts w:hint="eastAsia" w:ascii="宋体" w:hAnsi="宋体" w:eastAsia="宋体" w:cs="宋体"/>
      <w:color w:val="000000"/>
      <w:sz w:val="20"/>
      <w:szCs w:val="20"/>
      <w:u w:val="none"/>
    </w:rPr>
  </w:style>
  <w:style w:type="character" w:customStyle="1" w:styleId="55">
    <w:name w:val="font191"/>
    <w:basedOn w:val="25"/>
    <w:qFormat/>
    <w:uiPriority w:val="0"/>
    <w:rPr>
      <w:rFonts w:hint="eastAsia" w:ascii="仿宋_GB2312" w:eastAsia="仿宋_GB2312" w:cs="仿宋_GB2312"/>
      <w:b/>
      <w:bCs/>
      <w:color w:val="000000"/>
      <w:sz w:val="20"/>
      <w:szCs w:val="20"/>
      <w:u w:val="single"/>
    </w:rPr>
  </w:style>
  <w:style w:type="character" w:customStyle="1" w:styleId="56">
    <w:name w:val="font131"/>
    <w:basedOn w:val="25"/>
    <w:qFormat/>
    <w:uiPriority w:val="0"/>
    <w:rPr>
      <w:rFonts w:hint="eastAsia" w:ascii="仿宋_GB2312" w:eastAsia="仿宋_GB2312" w:cs="仿宋_GB2312"/>
      <w:b/>
      <w:bCs/>
      <w:color w:val="000000"/>
      <w:sz w:val="20"/>
      <w:szCs w:val="20"/>
      <w:u w:val="none"/>
    </w:rPr>
  </w:style>
  <w:style w:type="character" w:customStyle="1" w:styleId="57">
    <w:name w:val="font112"/>
    <w:basedOn w:val="25"/>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CIAE</Company>
  <Pages>26</Pages>
  <Words>151</Words>
  <Characters>155</Characters>
  <Lines>82</Lines>
  <Paragraphs>23</Paragraphs>
  <TotalTime>151</TotalTime>
  <ScaleCrop>false</ScaleCrop>
  <LinksUpToDate>false</LinksUpToDate>
  <CharactersWithSpaces>168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2023-05-18T05:49:00Z</dcterms:created>
  <dc:creator>LJY</dc:creator>
  <cp:lastModifiedBy>孟楠</cp:lastModifiedBy>
  <cp:lastPrinted>2023-05-05T03:26:00Z</cp:lastPrinted>
  <dcterms:modified xsi:type="dcterms:W3CDTF">2025-12-24T01:26:05Z</dcterms:modified>
  <dc:title>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5FAC677AAFBE4C1CB9996163972BC045_13</vt:lpwstr>
  </property>
  <property fmtid="{D5CDD505-2E9C-101B-9397-08002B2CF9AE}" pid="4" name="KSOTemplateDocerSaveRecord">
    <vt:lpwstr>eyJoZGlkIjoiMWQwYzJmNmNmOGYxYWFlOWEyMDhiYjhmODllN2VlN2YiLCJ1c2VySWQiOiIxMTM4Mjc3MTQ0In0=</vt:lpwstr>
  </property>
</Properties>
</file>